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B481" w14:textId="581D95B3" w:rsidR="00BF6A76" w:rsidRPr="00312A81" w:rsidRDefault="00D36CC7" w:rsidP="00312A81">
      <w:pPr>
        <w:spacing w:line="276" w:lineRule="auto"/>
        <w:jc w:val="center"/>
        <w:rPr>
          <w:b/>
        </w:rPr>
      </w:pPr>
      <w:r>
        <w:rPr>
          <w:b/>
        </w:rPr>
        <w:t>KOOSTÖÖ</w:t>
      </w:r>
      <w:r w:rsidR="00BF6A76" w:rsidRPr="00334951">
        <w:rPr>
          <w:b/>
        </w:rPr>
        <w:t>LEPING</w:t>
      </w:r>
    </w:p>
    <w:p w14:paraId="62233A6F" w14:textId="77777777" w:rsidR="00034AFD" w:rsidRDefault="00034AFD" w:rsidP="00034AFD">
      <w:pPr>
        <w:pStyle w:val="Default"/>
      </w:pPr>
    </w:p>
    <w:p w14:paraId="0E70BD1F" w14:textId="6ED79AE9" w:rsidR="0017690F" w:rsidRDefault="00034AFD" w:rsidP="00B631EB">
      <w:pPr>
        <w:jc w:val="both"/>
        <w:rPr>
          <w:bCs/>
        </w:rPr>
      </w:pPr>
      <w:r>
        <w:rPr>
          <w:b/>
          <w:bCs/>
          <w:sz w:val="23"/>
          <w:szCs w:val="23"/>
        </w:rPr>
        <w:t>Kultuuriministeerium</w:t>
      </w:r>
      <w:r w:rsidR="0019120F">
        <w:rPr>
          <w:b/>
          <w:bCs/>
          <w:sz w:val="23"/>
          <w:szCs w:val="23"/>
        </w:rPr>
        <w:t xml:space="preserve"> </w:t>
      </w:r>
      <w:r w:rsidR="0019120F">
        <w:rPr>
          <w:sz w:val="23"/>
          <w:szCs w:val="23"/>
        </w:rPr>
        <w:t xml:space="preserve">(edaspidi </w:t>
      </w:r>
      <w:r w:rsidR="0019120F">
        <w:rPr>
          <w:i/>
          <w:iCs/>
          <w:sz w:val="23"/>
          <w:szCs w:val="23"/>
        </w:rPr>
        <w:t>KUM</w:t>
      </w:r>
      <w:r w:rsidR="0019120F">
        <w:rPr>
          <w:sz w:val="23"/>
          <w:szCs w:val="23"/>
        </w:rPr>
        <w:t>)</w:t>
      </w:r>
      <w:r w:rsidR="00B631EB">
        <w:rPr>
          <w:b/>
          <w:bCs/>
          <w:sz w:val="23"/>
          <w:szCs w:val="23"/>
        </w:rPr>
        <w:t xml:space="preserve">, </w:t>
      </w:r>
      <w:r>
        <w:rPr>
          <w:sz w:val="23"/>
          <w:szCs w:val="23"/>
        </w:rPr>
        <w:t xml:space="preserve">keda esindab põhimääruse alusel kantsler </w:t>
      </w:r>
      <w:r w:rsidR="000D73C0">
        <w:rPr>
          <w:sz w:val="23"/>
          <w:szCs w:val="23"/>
        </w:rPr>
        <w:t>Kristiina Alliksaar</w:t>
      </w:r>
      <w:r w:rsidR="00BF6A76" w:rsidRPr="00944DF7">
        <w:t xml:space="preserve">, </w:t>
      </w:r>
      <w:r w:rsidR="00B631EB">
        <w:t>j</w:t>
      </w:r>
      <w:r w:rsidR="00BF6A76" w:rsidRPr="00944DF7">
        <w:t>a</w:t>
      </w:r>
      <w:r w:rsidR="00B631EB">
        <w:t xml:space="preserve"> </w:t>
      </w:r>
      <w:r w:rsidR="00BF6A76" w:rsidRPr="00944DF7">
        <w:rPr>
          <w:b/>
        </w:rPr>
        <w:t>Siseministeeriumi infotehnoloogia- ja arenduskeskus</w:t>
      </w:r>
      <w:r w:rsidR="0019120F">
        <w:rPr>
          <w:b/>
        </w:rPr>
        <w:t xml:space="preserve"> </w:t>
      </w:r>
      <w:r w:rsidR="0019120F">
        <w:rPr>
          <w:bCs/>
        </w:rPr>
        <w:t xml:space="preserve">(edaspidi </w:t>
      </w:r>
      <w:r w:rsidR="0019120F">
        <w:rPr>
          <w:bCs/>
          <w:i/>
          <w:iCs/>
        </w:rPr>
        <w:t>SMIT</w:t>
      </w:r>
      <w:r w:rsidR="0019120F">
        <w:rPr>
          <w:bCs/>
        </w:rPr>
        <w:t>)</w:t>
      </w:r>
      <w:r w:rsidR="00B631EB">
        <w:rPr>
          <w:b/>
        </w:rPr>
        <w:t xml:space="preserve">, </w:t>
      </w:r>
      <w:r w:rsidR="00BF6A76" w:rsidRPr="00944DF7">
        <w:rPr>
          <w:kern w:val="2"/>
        </w:rPr>
        <w:t xml:space="preserve">keda esindab </w:t>
      </w:r>
      <w:r w:rsidR="00BF6A76" w:rsidRPr="00944DF7">
        <w:t xml:space="preserve">põhimääruse alusel </w:t>
      </w:r>
      <w:r w:rsidR="0017690F">
        <w:t>pea</w:t>
      </w:r>
      <w:r w:rsidR="00BF6A76" w:rsidRPr="00944DF7">
        <w:t>direktor</w:t>
      </w:r>
      <w:r>
        <w:t xml:space="preserve"> </w:t>
      </w:r>
      <w:r w:rsidR="002E4FDE">
        <w:t>Mart Nielsen</w:t>
      </w:r>
      <w:r w:rsidR="00BF6A76" w:rsidRPr="00944DF7">
        <w:rPr>
          <w:kern w:val="2"/>
        </w:rPr>
        <w:t xml:space="preserve">, edaspidi ka </w:t>
      </w:r>
      <w:r w:rsidR="00BF6A76" w:rsidRPr="00944DF7">
        <w:rPr>
          <w:bCs/>
          <w:i/>
          <w:kern w:val="2"/>
        </w:rPr>
        <w:t>pool</w:t>
      </w:r>
      <w:r w:rsidR="00BF6A76" w:rsidRPr="00944DF7">
        <w:rPr>
          <w:kern w:val="2"/>
        </w:rPr>
        <w:t xml:space="preserve"> ja koos </w:t>
      </w:r>
      <w:r w:rsidR="00BF6A76" w:rsidRPr="00944DF7">
        <w:rPr>
          <w:i/>
          <w:kern w:val="2"/>
        </w:rPr>
        <w:t>pooled</w:t>
      </w:r>
      <w:r w:rsidR="00BF6A76" w:rsidRPr="00944DF7">
        <w:rPr>
          <w:kern w:val="2"/>
        </w:rPr>
        <w:t xml:space="preserve">, </w:t>
      </w:r>
      <w:r w:rsidR="0017690F">
        <w:rPr>
          <w:kern w:val="2"/>
        </w:rPr>
        <w:t xml:space="preserve"> </w:t>
      </w:r>
      <w:r w:rsidR="00BF6A76" w:rsidRPr="004E278F">
        <w:t xml:space="preserve">sõlmivad järgmise </w:t>
      </w:r>
      <w:r w:rsidR="00F75D84">
        <w:t>koostöö</w:t>
      </w:r>
      <w:r w:rsidR="00BF6A76" w:rsidRPr="004E278F">
        <w:t xml:space="preserve">lepingu (edaspidi </w:t>
      </w:r>
      <w:r w:rsidR="00BF6A76" w:rsidRPr="004E278F">
        <w:rPr>
          <w:bCs/>
          <w:i/>
        </w:rPr>
        <w:t>leping</w:t>
      </w:r>
      <w:r w:rsidR="00BF6A76" w:rsidRPr="004E278F">
        <w:rPr>
          <w:bCs/>
        </w:rPr>
        <w:t>)</w:t>
      </w:r>
      <w:r w:rsidR="00635082">
        <w:rPr>
          <w:bCs/>
        </w:rPr>
        <w:t>:</w:t>
      </w:r>
    </w:p>
    <w:p w14:paraId="605EC88A" w14:textId="2F40458D" w:rsidR="00635082" w:rsidRDefault="00635082" w:rsidP="00B631EB">
      <w:pPr>
        <w:jc w:val="both"/>
        <w:rPr>
          <w:bCs/>
        </w:rPr>
      </w:pPr>
    </w:p>
    <w:p w14:paraId="4FB90FE2" w14:textId="4A6F90E4" w:rsidR="00635082" w:rsidRDefault="00635082" w:rsidP="00B631EB">
      <w:pPr>
        <w:jc w:val="both"/>
        <w:rPr>
          <w:b/>
        </w:rPr>
      </w:pPr>
      <w:r>
        <w:rPr>
          <w:b/>
        </w:rPr>
        <w:t>Võttes arvesse, et:</w:t>
      </w:r>
    </w:p>
    <w:p w14:paraId="351657D1" w14:textId="3533B05D" w:rsidR="00635082" w:rsidRDefault="00635082" w:rsidP="00B631EB">
      <w:pPr>
        <w:jc w:val="both"/>
        <w:rPr>
          <w:bCs/>
        </w:rPr>
      </w:pPr>
    </w:p>
    <w:p w14:paraId="1B01A58C" w14:textId="1973C6F0" w:rsidR="00635082" w:rsidRPr="00B87B72" w:rsidRDefault="00635082" w:rsidP="00635082">
      <w:pPr>
        <w:pStyle w:val="ListParagraph"/>
        <w:numPr>
          <w:ilvl w:val="0"/>
          <w:numId w:val="29"/>
        </w:numPr>
        <w:jc w:val="both"/>
        <w:rPr>
          <w:bCs/>
        </w:rPr>
      </w:pPr>
      <w:r>
        <w:rPr>
          <w:bCs/>
        </w:rPr>
        <w:t xml:space="preserve">poolte vahel on sõlmitud partnerlusleping nr </w:t>
      </w:r>
      <w:r w:rsidRPr="00FB7832">
        <w:rPr>
          <w:noProof/>
          <w:highlight w:val="yellow"/>
        </w:rPr>
        <w:t>[...]</w:t>
      </w:r>
      <w:r>
        <w:t xml:space="preserve"> </w:t>
      </w:r>
      <w:r w:rsidRPr="00635082">
        <w:t xml:space="preserve">perioodi 2021-2027 Euroopa Liidu ühtekuuluvus- ja </w:t>
      </w:r>
      <w:proofErr w:type="spellStart"/>
      <w:r w:rsidRPr="00635082">
        <w:t>siseturvalisuspoliitika</w:t>
      </w:r>
      <w:proofErr w:type="spellEnd"/>
      <w:r w:rsidRPr="00635082">
        <w:t xml:space="preserve"> fondide rakendamise seaduse §-s 4 nimetatud meetmete nimekirjaga kinnitatud meetme 21.4.7.5 „Lõimumist, sealhulgas kohanemist toetav Eesti“ sekkumise nr 21.4.7.52 „Andmevahetuslahenduse (sh infoplatvormi) </w:t>
      </w:r>
      <w:r w:rsidRPr="00E20A9B">
        <w:t>edasiarendus ja rakendamine“ tegevuste elluviimiseks</w:t>
      </w:r>
      <w:r w:rsidR="00BD18EC" w:rsidRPr="00E20A9B">
        <w:t xml:space="preserve"> (edaspidi </w:t>
      </w:r>
      <w:r w:rsidR="00BD18EC" w:rsidRPr="00E20A9B">
        <w:rPr>
          <w:i/>
          <w:iCs/>
        </w:rPr>
        <w:t>partnerlusleping</w:t>
      </w:r>
      <w:r w:rsidR="00BD18EC" w:rsidRPr="00E20A9B">
        <w:t>)</w:t>
      </w:r>
      <w:r w:rsidRPr="00E20A9B">
        <w:t>;</w:t>
      </w:r>
    </w:p>
    <w:p w14:paraId="0560F3D5" w14:textId="4CF0CA61" w:rsidR="00FB4911" w:rsidRPr="00001639" w:rsidRDefault="00FB4911" w:rsidP="00635082">
      <w:pPr>
        <w:pStyle w:val="ListParagraph"/>
        <w:numPr>
          <w:ilvl w:val="0"/>
          <w:numId w:val="29"/>
        </w:numPr>
        <w:jc w:val="both"/>
        <w:rPr>
          <w:bCs/>
          <w:highlight w:val="yellow"/>
        </w:rPr>
      </w:pPr>
      <w:r w:rsidRPr="00E20A9B">
        <w:t xml:space="preserve">poolte vahel on sõlmitud </w:t>
      </w:r>
      <w:r w:rsidR="00F71153" w:rsidRPr="00E20A9B">
        <w:t xml:space="preserve">Uussisserändajate infosüsteem UUSSR teenuse kokkulepe </w:t>
      </w:r>
      <w:r w:rsidR="00F26F2F" w:rsidRPr="00E20A9B">
        <w:t xml:space="preserve">(edaspidi UUSSR leping) </w:t>
      </w:r>
      <w:r w:rsidR="00F71153" w:rsidRPr="00E20A9B">
        <w:t>[</w:t>
      </w:r>
      <w:r w:rsidR="00F71153" w:rsidRPr="00001639">
        <w:rPr>
          <w:highlight w:val="yellow"/>
        </w:rPr>
        <w:t>peale SLA allkirjastamist lisada kuupäev ja number]</w:t>
      </w:r>
    </w:p>
    <w:p w14:paraId="4130BE2A" w14:textId="1949A986" w:rsidR="00635082" w:rsidRDefault="00635082" w:rsidP="00635082">
      <w:pPr>
        <w:pStyle w:val="ListParagraph"/>
        <w:numPr>
          <w:ilvl w:val="0"/>
          <w:numId w:val="29"/>
        </w:numPr>
        <w:jc w:val="both"/>
      </w:pPr>
      <w:r>
        <w:t xml:space="preserve">partnerluslepingu sõlmimise aluseks on </w:t>
      </w:r>
      <w:r w:rsidRPr="00635082">
        <w:t>kultuuriministri 15.03.2023 käskkiri nr 80  „Eesti ühiskonnas lõimumist, sealhulgas kohanemist toetavate tegevuste elluviimiseks toetuse andmise tingimused“</w:t>
      </w:r>
      <w:r>
        <w:t xml:space="preserve"> (edaspidi </w:t>
      </w:r>
      <w:r>
        <w:rPr>
          <w:i/>
          <w:iCs/>
        </w:rPr>
        <w:t>TAT</w:t>
      </w:r>
      <w:r>
        <w:t>);</w:t>
      </w:r>
    </w:p>
    <w:p w14:paraId="76DD925B" w14:textId="7224DD67" w:rsidR="00635082" w:rsidRDefault="00635082" w:rsidP="00635082">
      <w:pPr>
        <w:pStyle w:val="ListParagraph"/>
        <w:numPr>
          <w:ilvl w:val="0"/>
          <w:numId w:val="29"/>
        </w:numPr>
        <w:jc w:val="both"/>
      </w:pPr>
      <w:r>
        <w:t xml:space="preserve">partnerluslepingust ning </w:t>
      </w:r>
      <w:proofErr w:type="spellStart"/>
      <w:r>
        <w:t>TATist</w:t>
      </w:r>
      <w:proofErr w:type="spellEnd"/>
      <w:r>
        <w:t xml:space="preserve"> tulenevaid tegevusi viiakse ellu järgnevate eesmärkide ja tulemuste saavutamiseks:</w:t>
      </w:r>
    </w:p>
    <w:p w14:paraId="7F7ED500" w14:textId="17CD6B4E" w:rsidR="00635082" w:rsidRDefault="00635082" w:rsidP="00635082">
      <w:pPr>
        <w:pStyle w:val="ListParagraph"/>
        <w:numPr>
          <w:ilvl w:val="1"/>
          <w:numId w:val="29"/>
        </w:numPr>
        <w:jc w:val="both"/>
      </w:pPr>
      <w:r>
        <w:t xml:space="preserve">kogu lepinguperioodi jooksul on tagatud infoplatvormi automaatse ja turvalise andmevahetuslahenduse vajaduspõhine edasiarendamine, testimine, hooldus ja rakendamine vastavalt </w:t>
      </w:r>
      <w:proofErr w:type="spellStart"/>
      <w:r>
        <w:t>KUMi</w:t>
      </w:r>
      <w:proofErr w:type="spellEnd"/>
      <w:r>
        <w:t xml:space="preserve"> esitatud vajadustele;</w:t>
      </w:r>
    </w:p>
    <w:p w14:paraId="3FBE63D3" w14:textId="6F5D4C6D" w:rsidR="00635082" w:rsidRDefault="00635082" w:rsidP="00635082">
      <w:pPr>
        <w:pStyle w:val="ListParagraph"/>
        <w:numPr>
          <w:ilvl w:val="1"/>
          <w:numId w:val="29"/>
        </w:numPr>
        <w:jc w:val="both"/>
      </w:pPr>
      <w:r>
        <w:t xml:space="preserve">lepingu perioodil on tagatud infoplatvormi arendamine, sh uue </w:t>
      </w:r>
      <w:proofErr w:type="spellStart"/>
      <w:r>
        <w:t>välisveebi</w:t>
      </w:r>
      <w:proofErr w:type="spellEnd"/>
      <w:r>
        <w:t xml:space="preserve"> arendamine </w:t>
      </w:r>
      <w:proofErr w:type="spellStart"/>
      <w:r>
        <w:t>KUMi</w:t>
      </w:r>
      <w:proofErr w:type="spellEnd"/>
      <w:r>
        <w:t xml:space="preserve"> esitatud lähteülesande alusel, selle rakendamine ja tugi; </w:t>
      </w:r>
    </w:p>
    <w:p w14:paraId="06087531" w14:textId="03F7069F" w:rsidR="00635082" w:rsidRDefault="00635082" w:rsidP="00635082">
      <w:pPr>
        <w:pStyle w:val="ListParagraph"/>
        <w:numPr>
          <w:ilvl w:val="1"/>
          <w:numId w:val="29"/>
        </w:numPr>
        <w:jc w:val="both"/>
      </w:pPr>
      <w:r>
        <w:t>lepingu perioodil on tagatud infoplatvormi majutus, turvalisuse tagamine ning kasutajatugi, samuti infoplatvormiga seotud e-postilahenduse toimimine ja tehniline tugi;</w:t>
      </w:r>
    </w:p>
    <w:p w14:paraId="0D847C9F" w14:textId="3B3C972F" w:rsidR="00635082" w:rsidRDefault="00635082" w:rsidP="00635082">
      <w:pPr>
        <w:pStyle w:val="ListParagraph"/>
        <w:numPr>
          <w:ilvl w:val="1"/>
          <w:numId w:val="29"/>
        </w:numPr>
        <w:jc w:val="both"/>
      </w:pPr>
      <w:r>
        <w:t xml:space="preserve">lepingu perioodil on tagatud infoplatvormi ühilduvuse tagamine teiste asjakohaste veebilehtede ja andmebaasidega vastavalt </w:t>
      </w:r>
      <w:proofErr w:type="spellStart"/>
      <w:r>
        <w:t>KUMi</w:t>
      </w:r>
      <w:proofErr w:type="spellEnd"/>
      <w:r>
        <w:t xml:space="preserve"> esitatud infole ja kinnitatud tegevuskavadele;</w:t>
      </w:r>
    </w:p>
    <w:p w14:paraId="6CC62FC1" w14:textId="377A6259" w:rsidR="00635082" w:rsidRDefault="00635082" w:rsidP="00BD18EC">
      <w:pPr>
        <w:pStyle w:val="ListParagraph"/>
        <w:numPr>
          <w:ilvl w:val="0"/>
          <w:numId w:val="29"/>
        </w:numPr>
        <w:jc w:val="both"/>
      </w:pPr>
      <w:r>
        <w:t>punktis C toodud eesmärkide saavutamiseks</w:t>
      </w:r>
      <w:r w:rsidR="00BD18EC">
        <w:t xml:space="preserve"> </w:t>
      </w:r>
      <w:r w:rsidR="00D92903">
        <w:t>on vaja toimivat infoplatvormi üleval pidada, kuid ülalpidamiskulud</w:t>
      </w:r>
      <w:r w:rsidR="00BD18EC">
        <w:t xml:space="preserve"> ei ole </w:t>
      </w:r>
      <w:r>
        <w:t xml:space="preserve">abikõlblikud </w:t>
      </w:r>
      <w:proofErr w:type="spellStart"/>
      <w:r>
        <w:t>TATi</w:t>
      </w:r>
      <w:proofErr w:type="spellEnd"/>
      <w:r>
        <w:t xml:space="preserve"> ja </w:t>
      </w:r>
      <w:proofErr w:type="spellStart"/>
      <w:r>
        <w:t>TATis</w:t>
      </w:r>
      <w:proofErr w:type="spellEnd"/>
      <w:r>
        <w:t xml:space="preserve"> viidatud õigusaktide kohaselt</w:t>
      </w:r>
      <w:r w:rsidR="00D92903">
        <w:t>;</w:t>
      </w:r>
    </w:p>
    <w:p w14:paraId="4DEFBD99" w14:textId="16D05D3C" w:rsidR="00D92903" w:rsidRDefault="00D92903" w:rsidP="00BD18EC">
      <w:pPr>
        <w:pStyle w:val="ListParagraph"/>
        <w:numPr>
          <w:ilvl w:val="0"/>
          <w:numId w:val="29"/>
        </w:numPr>
        <w:jc w:val="both"/>
      </w:pPr>
      <w:proofErr w:type="spellStart"/>
      <w:r>
        <w:t>TATi</w:t>
      </w:r>
      <w:proofErr w:type="spellEnd"/>
      <w:r>
        <w:t xml:space="preserve"> ning partnerluslepingu alusel on võimalik infoplatvormi ülalpidamiskulud katta „kaudsete kulude“ arvelt vaid osaliselt;</w:t>
      </w:r>
    </w:p>
    <w:p w14:paraId="2741E512" w14:textId="65E1C55E" w:rsidR="00BD18EC" w:rsidRDefault="00BD18EC" w:rsidP="00BD18EC">
      <w:pPr>
        <w:pStyle w:val="ListParagraph"/>
        <w:numPr>
          <w:ilvl w:val="0"/>
          <w:numId w:val="29"/>
        </w:numPr>
        <w:jc w:val="both"/>
      </w:pPr>
      <w:r>
        <w:t xml:space="preserve">pooled soovivad punktis C toodud eesmärgid saavutada ning </w:t>
      </w:r>
      <w:r w:rsidR="005C1206">
        <w:t>teostada</w:t>
      </w:r>
      <w:r w:rsidR="000B253F">
        <w:t xml:space="preserve"> </w:t>
      </w:r>
      <w:r w:rsidR="00D92903">
        <w:t xml:space="preserve">punktis D toodud infoplatvormi üleval pidamiseks vajalikud </w:t>
      </w:r>
      <w:r w:rsidR="005C1206">
        <w:t>tööd</w:t>
      </w:r>
      <w:r w:rsidR="00D92903">
        <w:t xml:space="preserve">, mida ei ole võimalik </w:t>
      </w:r>
      <w:r w:rsidR="00FB4911">
        <w:t xml:space="preserve">hüvitada </w:t>
      </w:r>
      <w:proofErr w:type="spellStart"/>
      <w:r w:rsidR="00D92903">
        <w:t>TATi</w:t>
      </w:r>
      <w:proofErr w:type="spellEnd"/>
      <w:r w:rsidR="00D92903">
        <w:t xml:space="preserve"> ega partnerluslepingu alusel</w:t>
      </w:r>
      <w:r>
        <w:t>;</w:t>
      </w:r>
    </w:p>
    <w:p w14:paraId="123D09BC" w14:textId="6611D079" w:rsidR="00635082" w:rsidRDefault="00635082" w:rsidP="00635082">
      <w:pPr>
        <w:jc w:val="both"/>
        <w:rPr>
          <w:bCs/>
        </w:rPr>
      </w:pPr>
    </w:p>
    <w:p w14:paraId="5477A07A" w14:textId="7D418FEB" w:rsidR="00635082" w:rsidRPr="00635082" w:rsidRDefault="00635082" w:rsidP="00635082">
      <w:pPr>
        <w:jc w:val="both"/>
        <w:rPr>
          <w:bCs/>
        </w:rPr>
      </w:pPr>
      <w:r w:rsidRPr="004E278F">
        <w:t>sõlmivad</w:t>
      </w:r>
      <w:r>
        <w:t xml:space="preserve"> pooled</w:t>
      </w:r>
      <w:r w:rsidRPr="004E278F">
        <w:t xml:space="preserve"> järgmise </w:t>
      </w:r>
      <w:r>
        <w:t>koostöö</w:t>
      </w:r>
      <w:r w:rsidRPr="004E278F">
        <w:t xml:space="preserve">lepingu (edaspidi </w:t>
      </w:r>
      <w:r w:rsidRPr="004E278F">
        <w:rPr>
          <w:bCs/>
          <w:i/>
        </w:rPr>
        <w:t>leping</w:t>
      </w:r>
      <w:r w:rsidRPr="004E278F">
        <w:rPr>
          <w:bCs/>
        </w:rPr>
        <w:t>)</w:t>
      </w:r>
      <w:r>
        <w:rPr>
          <w:bCs/>
        </w:rPr>
        <w:t>:</w:t>
      </w:r>
    </w:p>
    <w:p w14:paraId="6F0739AA" w14:textId="77777777" w:rsidR="00724631" w:rsidRPr="00944DF7" w:rsidRDefault="00724631" w:rsidP="004031A5">
      <w:pPr>
        <w:jc w:val="both"/>
        <w:rPr>
          <w:i/>
        </w:rPr>
      </w:pPr>
    </w:p>
    <w:p w14:paraId="611350AD" w14:textId="5DBFA14C" w:rsidR="00BF6A76" w:rsidRPr="00944DF7" w:rsidRDefault="00BF6A76" w:rsidP="004031A5">
      <w:pPr>
        <w:pStyle w:val="ListParagraph"/>
        <w:numPr>
          <w:ilvl w:val="0"/>
          <w:numId w:val="1"/>
        </w:numPr>
        <w:contextualSpacing/>
        <w:jc w:val="both"/>
        <w:rPr>
          <w:b/>
        </w:rPr>
      </w:pPr>
      <w:r w:rsidRPr="00944DF7">
        <w:rPr>
          <w:b/>
        </w:rPr>
        <w:t>Lepingu e</w:t>
      </w:r>
      <w:r w:rsidR="00A3451A">
        <w:rPr>
          <w:b/>
        </w:rPr>
        <w:t>se</w:t>
      </w:r>
      <w:r w:rsidRPr="00944DF7">
        <w:rPr>
          <w:b/>
        </w:rPr>
        <w:t xml:space="preserve"> ja sõlmimise alused</w:t>
      </w:r>
    </w:p>
    <w:p w14:paraId="55CF7637" w14:textId="26FC30DF" w:rsidR="00F624EC" w:rsidRDefault="00F624EC" w:rsidP="00F624EC">
      <w:pPr>
        <w:pStyle w:val="ListParagraph"/>
        <w:numPr>
          <w:ilvl w:val="1"/>
          <w:numId w:val="1"/>
        </w:numPr>
        <w:ind w:left="426" w:hanging="426"/>
        <w:jc w:val="both"/>
      </w:pPr>
      <w:r w:rsidRPr="00944DF7">
        <w:t xml:space="preserve">Lepingu </w:t>
      </w:r>
      <w:r>
        <w:t xml:space="preserve">esemeks on UUSSR infoplatvormi (edaspidi infoplatvorm) üleval pidamine ja nende ülalpidamiskulude rahastamine, mis ei ole abikõlbulikud partnerluslepingu, </w:t>
      </w:r>
      <w:proofErr w:type="spellStart"/>
      <w:r>
        <w:t>TATi</w:t>
      </w:r>
      <w:proofErr w:type="spellEnd"/>
      <w:r>
        <w:t xml:space="preserve"> või </w:t>
      </w:r>
      <w:proofErr w:type="spellStart"/>
      <w:r>
        <w:t>TATis</w:t>
      </w:r>
      <w:proofErr w:type="spellEnd"/>
      <w:r>
        <w:t xml:space="preserve"> viidatud õigusaktide kohaselt ning mida ei ole võimalik katta partnerluslepingu „kaudsete kulude“ rea arvelt (infoplatvormi ülalpidamine edaspidi </w:t>
      </w:r>
      <w:r>
        <w:rPr>
          <w:i/>
          <w:iCs/>
        </w:rPr>
        <w:t>töö</w:t>
      </w:r>
      <w:r>
        <w:t xml:space="preserve">). Infoplatvormi ülalpidamiskulude hinnanguline prognoos perioodil 2024-2026 ulatuses mida ei saa rahastada partnerluslepingu alusel on toodud lisas 1. </w:t>
      </w:r>
    </w:p>
    <w:p w14:paraId="17189A61" w14:textId="15DA1CB6" w:rsidR="00F624EC" w:rsidRPr="00944DF7" w:rsidRDefault="00F624EC" w:rsidP="00FB7832">
      <w:pPr>
        <w:jc w:val="both"/>
      </w:pPr>
      <w:r>
        <w:lastRenderedPageBreak/>
        <w:t xml:space="preserve"> </w:t>
      </w:r>
    </w:p>
    <w:p w14:paraId="613167E9" w14:textId="77777777" w:rsidR="00F624EC" w:rsidRPr="00944DF7" w:rsidRDefault="00F624EC" w:rsidP="00FB7832">
      <w:pPr>
        <w:pStyle w:val="ListParagraph"/>
        <w:ind w:left="426"/>
        <w:jc w:val="both"/>
      </w:pPr>
    </w:p>
    <w:p w14:paraId="7BCA4555" w14:textId="16F500D0" w:rsidR="001629CC" w:rsidRDefault="0072052F" w:rsidP="00712B47">
      <w:pPr>
        <w:pStyle w:val="ListParagraph"/>
        <w:numPr>
          <w:ilvl w:val="1"/>
          <w:numId w:val="1"/>
        </w:numPr>
        <w:jc w:val="both"/>
      </w:pPr>
      <w:r>
        <w:t>Lepingu täitmise</w:t>
      </w:r>
      <w:r w:rsidR="00712B47">
        <w:t>l juhin</w:t>
      </w:r>
      <w:r>
        <w:t>d</w:t>
      </w:r>
      <w:r w:rsidR="00712B47">
        <w:t>utakse</w:t>
      </w:r>
      <w:r w:rsidR="00015BB3">
        <w:t xml:space="preserve"> lepingus sätestamata küsimustes</w:t>
      </w:r>
      <w:r w:rsidR="00712B47">
        <w:t xml:space="preserve"> </w:t>
      </w:r>
      <w:r w:rsidR="00F75D84" w:rsidRPr="00BE1844">
        <w:t>s</w:t>
      </w:r>
      <w:r w:rsidR="00A3451A" w:rsidRPr="00BE1844">
        <w:t>iseministri</w:t>
      </w:r>
      <w:r w:rsidR="00712B47">
        <w:t xml:space="preserve"> 18.12.2015 määrusest </w:t>
      </w:r>
      <w:r w:rsidR="00A3451A" w:rsidRPr="00BE1844">
        <w:t>„Elamislubade ja töölubade registri põhimäärus“</w:t>
      </w:r>
      <w:r w:rsidR="00015BB3">
        <w:t xml:space="preserve"> </w:t>
      </w:r>
      <w:r w:rsidR="009A6B12">
        <w:t xml:space="preserve">(edaspidi </w:t>
      </w:r>
      <w:r w:rsidR="009A6B12" w:rsidRPr="009A6B12">
        <w:rPr>
          <w:i/>
          <w:iCs/>
        </w:rPr>
        <w:t>põhimäärus</w:t>
      </w:r>
      <w:r w:rsidR="009A6B12">
        <w:t xml:space="preserve">) </w:t>
      </w:r>
      <w:r w:rsidR="00015BB3" w:rsidRPr="009A6B12">
        <w:t>ja</w:t>
      </w:r>
      <w:r w:rsidR="00015BB3">
        <w:t xml:space="preserve"> teistest Eesti Vabariigi õigusaktidest</w:t>
      </w:r>
      <w:r w:rsidR="00712B47">
        <w:t>.</w:t>
      </w:r>
    </w:p>
    <w:p w14:paraId="465FFC9B" w14:textId="5709C1D6" w:rsidR="001C4262" w:rsidRPr="0020432C" w:rsidRDefault="0020432C" w:rsidP="00326CB9">
      <w:pPr>
        <w:pStyle w:val="ListParagraph"/>
        <w:widowControl w:val="0"/>
        <w:numPr>
          <w:ilvl w:val="1"/>
          <w:numId w:val="1"/>
        </w:numPr>
        <w:autoSpaceDE w:val="0"/>
        <w:autoSpaceDN w:val="0"/>
        <w:adjustRightInd w:val="0"/>
        <w:ind w:right="-6"/>
        <w:jc w:val="both"/>
        <w:rPr>
          <w:rFonts w:eastAsiaTheme="minorHAnsi"/>
          <w:color w:val="000000"/>
          <w:sz w:val="23"/>
          <w:szCs w:val="23"/>
          <w:lang w:eastAsia="en-US"/>
        </w:rPr>
      </w:pPr>
      <w:r>
        <w:t xml:space="preserve">Lepingu alusel ei kuulu teostamisele </w:t>
      </w:r>
      <w:r w:rsidR="002B61B7">
        <w:t xml:space="preserve">tegevused </w:t>
      </w:r>
      <w:r>
        <w:t>ega</w:t>
      </w:r>
      <w:r w:rsidR="00BE5985">
        <w:t xml:space="preserve"> hüvitamisele</w:t>
      </w:r>
      <w:r w:rsidR="002B61B7">
        <w:t xml:space="preserve"> kulud</w:t>
      </w:r>
      <w:r>
        <w:t>, mida SMIT teostab</w:t>
      </w:r>
      <w:r w:rsidR="00BE5985">
        <w:t xml:space="preserve"> või mis tekivad</w:t>
      </w:r>
      <w:r>
        <w:t xml:space="preserve"> </w:t>
      </w:r>
      <w:proofErr w:type="spellStart"/>
      <w:r>
        <w:t>KUMi</w:t>
      </w:r>
      <w:proofErr w:type="spellEnd"/>
      <w:r>
        <w:t xml:space="preserve"> ja </w:t>
      </w:r>
      <w:proofErr w:type="spellStart"/>
      <w:r>
        <w:t>SMITi</w:t>
      </w:r>
      <w:proofErr w:type="spellEnd"/>
      <w:r>
        <w:t xml:space="preserve"> vahel sõlmitud partnerluslepingu nr </w:t>
      </w:r>
      <w:bookmarkStart w:id="0" w:name="Tekst1"/>
      <w:r>
        <w:rPr>
          <w:noProof/>
        </w:rPr>
        <w:t>[</w:t>
      </w:r>
      <w:r w:rsidRPr="008948EB">
        <w:rPr>
          <w:noProof/>
          <w:highlight w:val="yellow"/>
        </w:rPr>
        <w:t>...</w:t>
      </w:r>
      <w:r>
        <w:rPr>
          <w:noProof/>
        </w:rPr>
        <w:t>]</w:t>
      </w:r>
      <w:bookmarkEnd w:id="0"/>
      <w:r>
        <w:t xml:space="preserve"> alusel. </w:t>
      </w:r>
    </w:p>
    <w:p w14:paraId="03FEA2D5" w14:textId="77777777" w:rsidR="0020432C" w:rsidRPr="0020432C" w:rsidRDefault="0020432C" w:rsidP="0020432C">
      <w:pPr>
        <w:pStyle w:val="ListParagraph"/>
        <w:widowControl w:val="0"/>
        <w:autoSpaceDE w:val="0"/>
        <w:autoSpaceDN w:val="0"/>
        <w:adjustRightInd w:val="0"/>
        <w:ind w:left="432" w:right="-6"/>
        <w:jc w:val="both"/>
        <w:rPr>
          <w:rFonts w:eastAsiaTheme="minorHAnsi"/>
          <w:color w:val="000000"/>
          <w:sz w:val="23"/>
          <w:szCs w:val="23"/>
          <w:lang w:eastAsia="en-US"/>
        </w:rPr>
      </w:pPr>
    </w:p>
    <w:p w14:paraId="782ACA88" w14:textId="6FE0DFFF" w:rsidR="001C4262" w:rsidRPr="00BE1844" w:rsidRDefault="001C4262" w:rsidP="004031A5">
      <w:pPr>
        <w:pStyle w:val="ListParagraph"/>
        <w:numPr>
          <w:ilvl w:val="0"/>
          <w:numId w:val="1"/>
        </w:numPr>
        <w:autoSpaceDE w:val="0"/>
        <w:autoSpaceDN w:val="0"/>
        <w:adjustRightInd w:val="0"/>
        <w:jc w:val="both"/>
        <w:rPr>
          <w:rFonts w:eastAsiaTheme="minorHAnsi"/>
          <w:color w:val="000000"/>
          <w:lang w:eastAsia="en-US"/>
        </w:rPr>
      </w:pPr>
      <w:r w:rsidRPr="00BE1844">
        <w:rPr>
          <w:rFonts w:eastAsiaTheme="minorHAnsi"/>
          <w:b/>
          <w:bCs/>
          <w:color w:val="000000"/>
          <w:sz w:val="23"/>
          <w:szCs w:val="23"/>
          <w:lang w:eastAsia="en-US"/>
        </w:rPr>
        <w:t>Lepingu</w:t>
      </w:r>
      <w:r w:rsidR="00015BB3">
        <w:rPr>
          <w:rFonts w:eastAsiaTheme="minorHAnsi"/>
          <w:b/>
          <w:bCs/>
          <w:color w:val="000000"/>
          <w:sz w:val="23"/>
          <w:szCs w:val="23"/>
          <w:lang w:eastAsia="en-US"/>
        </w:rPr>
        <w:t xml:space="preserve"> jõustumine</w:t>
      </w:r>
      <w:r w:rsidR="0020432C">
        <w:rPr>
          <w:rFonts w:eastAsiaTheme="minorHAnsi"/>
          <w:b/>
          <w:bCs/>
          <w:color w:val="000000"/>
          <w:sz w:val="23"/>
          <w:szCs w:val="23"/>
          <w:lang w:eastAsia="en-US"/>
        </w:rPr>
        <w:t>,</w:t>
      </w:r>
      <w:r w:rsidR="00015BB3">
        <w:rPr>
          <w:rFonts w:eastAsiaTheme="minorHAnsi"/>
          <w:b/>
          <w:bCs/>
          <w:color w:val="000000"/>
          <w:sz w:val="23"/>
          <w:szCs w:val="23"/>
          <w:lang w:eastAsia="en-US"/>
        </w:rPr>
        <w:t xml:space="preserve"> kehtivus</w:t>
      </w:r>
      <w:r w:rsidRPr="00BE1844">
        <w:rPr>
          <w:rFonts w:eastAsiaTheme="minorHAnsi"/>
          <w:b/>
          <w:bCs/>
          <w:color w:val="000000"/>
          <w:sz w:val="23"/>
          <w:szCs w:val="23"/>
          <w:lang w:eastAsia="en-US"/>
        </w:rPr>
        <w:t xml:space="preserve"> </w:t>
      </w:r>
      <w:r w:rsidR="0020432C">
        <w:rPr>
          <w:rFonts w:eastAsiaTheme="minorHAnsi"/>
          <w:b/>
          <w:bCs/>
          <w:color w:val="000000"/>
          <w:sz w:val="23"/>
          <w:szCs w:val="23"/>
          <w:lang w:eastAsia="en-US"/>
        </w:rPr>
        <w:t>ja muutmine</w:t>
      </w:r>
    </w:p>
    <w:p w14:paraId="575B88B6" w14:textId="582DEC3A" w:rsidR="00015BB3" w:rsidRDefault="00015BB3" w:rsidP="00724631">
      <w:pPr>
        <w:pStyle w:val="ListParagraph"/>
        <w:numPr>
          <w:ilvl w:val="1"/>
          <w:numId w:val="1"/>
        </w:numPr>
        <w:jc w:val="both"/>
      </w:pPr>
      <w:r w:rsidRPr="00015BB3">
        <w:t>Leping jõustub poolte poolt selle allkirjastamise hetkest ning seda rakendatakse  tagasiulatuvalt alates 01.0</w:t>
      </w:r>
      <w:r w:rsidR="009B721D">
        <w:t>3</w:t>
      </w:r>
      <w:r w:rsidRPr="00015BB3">
        <w:t>.2024.</w:t>
      </w:r>
    </w:p>
    <w:p w14:paraId="0F15C58B" w14:textId="6042187A" w:rsidR="00015BB3" w:rsidRDefault="00015BB3" w:rsidP="00724631">
      <w:pPr>
        <w:pStyle w:val="ListParagraph"/>
        <w:numPr>
          <w:ilvl w:val="1"/>
          <w:numId w:val="1"/>
        </w:numPr>
        <w:jc w:val="both"/>
      </w:pPr>
      <w:r w:rsidRPr="00015BB3">
        <w:t>Leping kehtib kuni 31.12.2026 või kuni poolte lepinguliste kohustuste nõuetekohase täitmiseni.</w:t>
      </w:r>
    </w:p>
    <w:p w14:paraId="24BA9EE1" w14:textId="77777777" w:rsidR="00015BB3" w:rsidRDefault="00015BB3" w:rsidP="00015BB3">
      <w:pPr>
        <w:pStyle w:val="ListParagraph"/>
        <w:numPr>
          <w:ilvl w:val="1"/>
          <w:numId w:val="1"/>
        </w:numPr>
        <w:jc w:val="both"/>
      </w:pPr>
      <w:r>
        <w:t xml:space="preserve">Poolte lepingulisi tegevusi loetakse lepinguga kooskõlas olevateks alates lepingu kehtivuse algusest. </w:t>
      </w:r>
    </w:p>
    <w:p w14:paraId="6CEEAAF1" w14:textId="5F506EE7" w:rsidR="00015BB3" w:rsidRDefault="00015BB3" w:rsidP="00015BB3">
      <w:pPr>
        <w:pStyle w:val="ListParagraph"/>
        <w:numPr>
          <w:ilvl w:val="1"/>
          <w:numId w:val="1"/>
        </w:numPr>
        <w:jc w:val="both"/>
      </w:pPr>
      <w:r>
        <w:t xml:space="preserve">Lepingut võib muuta ainult poolte kirjalikul kokkuleppel, vastasel juhul on muudatused tühised. Lepingu muudatused vormistatakse kirjalikult lepingu lisana. </w:t>
      </w:r>
    </w:p>
    <w:p w14:paraId="067D8BF9" w14:textId="77777777" w:rsidR="006D00D6" w:rsidRPr="003775C5" w:rsidRDefault="006D00D6" w:rsidP="00724631">
      <w:pPr>
        <w:pStyle w:val="Default"/>
        <w:jc w:val="both"/>
      </w:pPr>
    </w:p>
    <w:p w14:paraId="5D41B5C9" w14:textId="7BB51FD0" w:rsidR="004031A5" w:rsidRPr="006D00D6" w:rsidRDefault="003775C5" w:rsidP="006D00D6">
      <w:pPr>
        <w:pStyle w:val="ListParagraph"/>
        <w:numPr>
          <w:ilvl w:val="0"/>
          <w:numId w:val="1"/>
        </w:numPr>
        <w:autoSpaceDE w:val="0"/>
        <w:autoSpaceDN w:val="0"/>
        <w:adjustRightInd w:val="0"/>
        <w:jc w:val="both"/>
        <w:rPr>
          <w:rFonts w:eastAsiaTheme="minorHAnsi"/>
          <w:b/>
          <w:bCs/>
          <w:color w:val="000000"/>
          <w:sz w:val="23"/>
          <w:szCs w:val="23"/>
          <w:lang w:eastAsia="en-US"/>
        </w:rPr>
      </w:pPr>
      <w:r w:rsidRPr="006D00D6">
        <w:rPr>
          <w:rFonts w:eastAsiaTheme="minorHAnsi"/>
          <w:b/>
          <w:bCs/>
          <w:color w:val="000000"/>
          <w:sz w:val="23"/>
          <w:szCs w:val="23"/>
          <w:lang w:eastAsia="en-US"/>
        </w:rPr>
        <w:t xml:space="preserve">Arvete esitamise alused ja tasumise kord </w:t>
      </w:r>
    </w:p>
    <w:p w14:paraId="38A5297E" w14:textId="101AE135" w:rsidR="004031A5" w:rsidRPr="00724631" w:rsidRDefault="005C1206" w:rsidP="009A6B12">
      <w:pPr>
        <w:pStyle w:val="ListParagraph"/>
        <w:numPr>
          <w:ilvl w:val="1"/>
          <w:numId w:val="1"/>
        </w:numPr>
        <w:jc w:val="both"/>
      </w:pPr>
      <w:r>
        <w:t>Tööde</w:t>
      </w:r>
      <w:r w:rsidR="00015BB3">
        <w:t xml:space="preserve"> eest esitab SMIT </w:t>
      </w:r>
      <w:proofErr w:type="spellStart"/>
      <w:r w:rsidR="00015BB3">
        <w:t>KUMile</w:t>
      </w:r>
      <w:proofErr w:type="spellEnd"/>
      <w:r w:rsidR="00015BB3">
        <w:t xml:space="preserve"> e-arve kord</w:t>
      </w:r>
      <w:r w:rsidR="009B721D">
        <w:t xml:space="preserve"> kvartalis.</w:t>
      </w:r>
      <w:r w:rsidR="00015BB3">
        <w:t xml:space="preserve"> </w:t>
      </w:r>
      <w:r w:rsidR="004031A5" w:rsidRPr="00724631">
        <w:t xml:space="preserve">Lepingu </w:t>
      </w:r>
      <w:r w:rsidR="00015BB3">
        <w:t>kogu</w:t>
      </w:r>
      <w:r w:rsidR="004031A5" w:rsidRPr="00724631">
        <w:t xml:space="preserve">maksumus on </w:t>
      </w:r>
      <w:r w:rsidR="00BE1844">
        <w:t xml:space="preserve">maksimaalselt </w:t>
      </w:r>
      <w:r w:rsidR="003E0231">
        <w:t>1</w:t>
      </w:r>
      <w:r w:rsidR="0043592A">
        <w:t>60</w:t>
      </w:r>
      <w:r w:rsidR="003E0231">
        <w:t xml:space="preserve"> 000</w:t>
      </w:r>
      <w:r w:rsidR="008055E9">
        <w:t xml:space="preserve"> </w:t>
      </w:r>
      <w:r w:rsidR="004031A5" w:rsidRPr="00724631">
        <w:t xml:space="preserve">eurot. </w:t>
      </w:r>
    </w:p>
    <w:p w14:paraId="3E05ED49" w14:textId="7B8B66C1" w:rsidR="004031A5" w:rsidRPr="00724631" w:rsidRDefault="0020432C" w:rsidP="00724631">
      <w:pPr>
        <w:pStyle w:val="ListParagraph"/>
        <w:numPr>
          <w:ilvl w:val="1"/>
          <w:numId w:val="1"/>
        </w:numPr>
        <w:jc w:val="both"/>
      </w:pPr>
      <w:r>
        <w:t xml:space="preserve">Arve </w:t>
      </w:r>
      <w:r w:rsidR="0087491C" w:rsidRPr="00724631">
        <w:t xml:space="preserve">esitamise aluseks on eelmise </w:t>
      </w:r>
      <w:r w:rsidR="004D0749" w:rsidRPr="00724631">
        <w:t>perioodi</w:t>
      </w:r>
      <w:r w:rsidR="0087491C" w:rsidRPr="00724631">
        <w:t xml:space="preserve"> </w:t>
      </w:r>
      <w:r w:rsidR="00D36CC7" w:rsidRPr="00724631">
        <w:t xml:space="preserve">kulude </w:t>
      </w:r>
      <w:r w:rsidR="0087491C" w:rsidRPr="00724631">
        <w:t xml:space="preserve">aruanne. </w:t>
      </w:r>
      <w:proofErr w:type="spellStart"/>
      <w:r>
        <w:t>SMIT</w:t>
      </w:r>
      <w:r w:rsidR="00420D09" w:rsidRPr="00724631">
        <w:t>i</w:t>
      </w:r>
      <w:proofErr w:type="spellEnd"/>
      <w:r w:rsidR="003775C5" w:rsidRPr="00724631">
        <w:t xml:space="preserve"> poolt esitatavatel arvetel peab lisaks standardis nimetatud andmetele olema välja toodud ka </w:t>
      </w:r>
      <w:proofErr w:type="spellStart"/>
      <w:r>
        <w:t>KUMi</w:t>
      </w:r>
      <w:proofErr w:type="spellEnd"/>
      <w:r>
        <w:t xml:space="preserve"> </w:t>
      </w:r>
      <w:r w:rsidR="003775C5" w:rsidRPr="00724631">
        <w:t xml:space="preserve">kontaktisiku ees- ja perekonnanimi, viide </w:t>
      </w:r>
      <w:r w:rsidR="00421636">
        <w:t xml:space="preserve">käesolevale </w:t>
      </w:r>
      <w:r w:rsidR="003775C5" w:rsidRPr="00724631">
        <w:t xml:space="preserve">lepingule </w:t>
      </w:r>
      <w:r w:rsidR="003775C5" w:rsidRPr="00752B13">
        <w:t>(lepingu number).</w:t>
      </w:r>
      <w:r w:rsidR="003775C5" w:rsidRPr="00724631">
        <w:t xml:space="preserve"> Esitatavad arved peavad vastama käibemaksuseaduse nõuetele ning sisaldama makse teostamiseks vajalikke andmeid (pangarekvisiitides olema vajadusel lisatud panga nimetus, IBAN ja SWIFT koodid). </w:t>
      </w:r>
      <w:proofErr w:type="spellStart"/>
      <w:r>
        <w:t>KUMil</w:t>
      </w:r>
      <w:proofErr w:type="spellEnd"/>
      <w:r w:rsidR="003775C5" w:rsidRPr="00724631">
        <w:t xml:space="preserve"> on õigus lepingus esitatud tingimustele mittevastavat arvet mitte tasuda ja väljamakse teostamiseks nõuda arve lepingu tingimustele vastavusse viimist. </w:t>
      </w:r>
    </w:p>
    <w:p w14:paraId="5E9A6AB1" w14:textId="638FB98D" w:rsidR="00B631EB" w:rsidRDefault="0020432C" w:rsidP="006D00D6">
      <w:pPr>
        <w:pStyle w:val="ListParagraph"/>
        <w:numPr>
          <w:ilvl w:val="1"/>
          <w:numId w:val="1"/>
        </w:numPr>
        <w:jc w:val="both"/>
      </w:pPr>
      <w:r>
        <w:t xml:space="preserve">KUM </w:t>
      </w:r>
      <w:r w:rsidR="003775C5" w:rsidRPr="00724631">
        <w:t xml:space="preserve">tasub </w:t>
      </w:r>
      <w:proofErr w:type="spellStart"/>
      <w:r>
        <w:t>SMITi</w:t>
      </w:r>
      <w:proofErr w:type="spellEnd"/>
      <w:r>
        <w:t xml:space="preserve"> </w:t>
      </w:r>
      <w:r w:rsidR="003775C5" w:rsidRPr="00724631">
        <w:t xml:space="preserve">esitatud arved 21 (kahekümne ühe) kalendripäeva jooksul vastava nõuetekohase arve laekumisest arvates. Arve loetakse laekunuks selle </w:t>
      </w:r>
      <w:proofErr w:type="spellStart"/>
      <w:r>
        <w:t>KUMi</w:t>
      </w:r>
      <w:proofErr w:type="spellEnd"/>
      <w:r w:rsidR="003775C5" w:rsidRPr="00724631">
        <w:t xml:space="preserve"> e-arvete operaatorile (</w:t>
      </w:r>
      <w:proofErr w:type="spellStart"/>
      <w:r w:rsidR="003775C5" w:rsidRPr="00724631">
        <w:t>Fitek</w:t>
      </w:r>
      <w:proofErr w:type="spellEnd"/>
      <w:r w:rsidR="003775C5" w:rsidRPr="00724631">
        <w:t xml:space="preserve"> </w:t>
      </w:r>
      <w:proofErr w:type="spellStart"/>
      <w:r w:rsidR="003775C5" w:rsidRPr="00724631">
        <w:t>AS-le</w:t>
      </w:r>
      <w:proofErr w:type="spellEnd"/>
      <w:r w:rsidR="003775C5" w:rsidRPr="00724631">
        <w:t xml:space="preserve">) laekumise kuupäevast. Arve tasumise kuupäevaks loetakse vastava maksekorralduse riigikassale esitamise kuupäev. Arvel märgitud summa laekumise kohaks on arvel märgitud arveldusarve number. </w:t>
      </w:r>
    </w:p>
    <w:p w14:paraId="1BCE3FF3" w14:textId="0F81DA8E" w:rsidR="009A6B12" w:rsidRDefault="009A6B12" w:rsidP="009A6B12">
      <w:pPr>
        <w:jc w:val="both"/>
      </w:pPr>
    </w:p>
    <w:p w14:paraId="1F24E36F" w14:textId="203D7245" w:rsidR="009A6B12" w:rsidRPr="009A6B12" w:rsidRDefault="009A6B12" w:rsidP="009A6B12">
      <w:pPr>
        <w:pStyle w:val="ListParagraph"/>
        <w:numPr>
          <w:ilvl w:val="0"/>
          <w:numId w:val="1"/>
        </w:numPr>
        <w:jc w:val="both"/>
        <w:rPr>
          <w:b/>
          <w:bCs/>
        </w:rPr>
      </w:pPr>
      <w:r w:rsidRPr="009A6B12">
        <w:rPr>
          <w:b/>
          <w:bCs/>
        </w:rPr>
        <w:t>Poolte kohustused</w:t>
      </w:r>
    </w:p>
    <w:p w14:paraId="01F63A14" w14:textId="3F83BC66" w:rsidR="009A6B12" w:rsidRDefault="009A6B12" w:rsidP="009A6B12">
      <w:pPr>
        <w:pStyle w:val="ListParagraph"/>
        <w:numPr>
          <w:ilvl w:val="1"/>
          <w:numId w:val="1"/>
        </w:numPr>
        <w:jc w:val="both"/>
      </w:pPr>
      <w:r>
        <w:t>Pooled on kohustatud:</w:t>
      </w:r>
    </w:p>
    <w:p w14:paraId="309F2A5A" w14:textId="77777777" w:rsidR="009A6B12" w:rsidRDefault="009A6B12" w:rsidP="009A6B12">
      <w:pPr>
        <w:pStyle w:val="ListParagraph"/>
        <w:numPr>
          <w:ilvl w:val="2"/>
          <w:numId w:val="1"/>
        </w:numPr>
        <w:jc w:val="both"/>
      </w:pPr>
      <w:r>
        <w:t>võtma kasutusele kõik asjakohased ja vajalikud meetmed, et tagada lepingust tulenevate kohustuste ja eesmärkide täitmine;</w:t>
      </w:r>
    </w:p>
    <w:p w14:paraId="58559326" w14:textId="7658B074" w:rsidR="009A6B12" w:rsidRDefault="008A5FED" w:rsidP="009A6B12">
      <w:pPr>
        <w:pStyle w:val="ListParagraph"/>
        <w:numPr>
          <w:ilvl w:val="2"/>
          <w:numId w:val="1"/>
        </w:numPr>
        <w:jc w:val="both"/>
      </w:pPr>
      <w:r>
        <w:t>teavitama teist poolt</w:t>
      </w:r>
      <w:r w:rsidR="00B67C49">
        <w:t xml:space="preserve"> asjaoludest</w:t>
      </w:r>
      <w:r w:rsidR="009A6B12">
        <w:t>, mis on vajalik</w:t>
      </w:r>
      <w:r w:rsidR="00B67C49">
        <w:t>ud</w:t>
      </w:r>
      <w:r w:rsidR="009A6B12">
        <w:t xml:space="preserve"> lepingu edukaks täitmiseks;</w:t>
      </w:r>
    </w:p>
    <w:p w14:paraId="4A8216E5" w14:textId="500636A1" w:rsidR="006D00D6" w:rsidRDefault="009A6B12" w:rsidP="009A6B12">
      <w:pPr>
        <w:pStyle w:val="ListParagraph"/>
        <w:numPr>
          <w:ilvl w:val="2"/>
          <w:numId w:val="1"/>
        </w:numPr>
        <w:jc w:val="both"/>
      </w:pPr>
      <w:r>
        <w:t xml:space="preserve">teavitama </w:t>
      </w:r>
      <w:r w:rsidR="00287FB6">
        <w:t xml:space="preserve">teist poolt </w:t>
      </w:r>
      <w:r w:rsidR="005D615A">
        <w:t>lepingu täitmist</w:t>
      </w:r>
      <w:r>
        <w:t xml:space="preserve"> takistavatest asjaoludest</w:t>
      </w:r>
    </w:p>
    <w:p w14:paraId="0AF97080" w14:textId="77777777" w:rsidR="00684300" w:rsidRDefault="00684300" w:rsidP="00684300">
      <w:pPr>
        <w:pStyle w:val="ListParagraph"/>
        <w:ind w:left="432"/>
      </w:pPr>
    </w:p>
    <w:p w14:paraId="593DA789" w14:textId="5D34E823" w:rsidR="009A6B12" w:rsidRPr="009A6B12" w:rsidRDefault="009A6B12" w:rsidP="009A6B12">
      <w:pPr>
        <w:pStyle w:val="ListParagraph"/>
        <w:numPr>
          <w:ilvl w:val="0"/>
          <w:numId w:val="1"/>
        </w:numPr>
        <w:jc w:val="both"/>
        <w:rPr>
          <w:b/>
          <w:bCs/>
        </w:rPr>
      </w:pPr>
      <w:proofErr w:type="spellStart"/>
      <w:r>
        <w:rPr>
          <w:b/>
          <w:bCs/>
        </w:rPr>
        <w:t>SMITi</w:t>
      </w:r>
      <w:proofErr w:type="spellEnd"/>
      <w:r>
        <w:rPr>
          <w:b/>
          <w:bCs/>
        </w:rPr>
        <w:t xml:space="preserve"> </w:t>
      </w:r>
      <w:r w:rsidRPr="009A6B12">
        <w:rPr>
          <w:b/>
          <w:bCs/>
        </w:rPr>
        <w:t>õigused ja kohustused</w:t>
      </w:r>
    </w:p>
    <w:p w14:paraId="25F2F73B" w14:textId="77777777" w:rsidR="00684300" w:rsidRDefault="009A6B12" w:rsidP="009A6B12">
      <w:pPr>
        <w:pStyle w:val="ListParagraph"/>
        <w:numPr>
          <w:ilvl w:val="1"/>
          <w:numId w:val="1"/>
        </w:numPr>
        <w:jc w:val="both"/>
      </w:pPr>
      <w:proofErr w:type="spellStart"/>
      <w:r>
        <w:t>SMITil</w:t>
      </w:r>
      <w:proofErr w:type="spellEnd"/>
      <w:r>
        <w:t xml:space="preserve"> on õigus</w:t>
      </w:r>
      <w:r w:rsidR="00684300">
        <w:t>:</w:t>
      </w:r>
    </w:p>
    <w:p w14:paraId="7D853145" w14:textId="2A34017C" w:rsidR="00684300" w:rsidRDefault="00684300" w:rsidP="00684300">
      <w:pPr>
        <w:pStyle w:val="ListParagraph"/>
        <w:numPr>
          <w:ilvl w:val="2"/>
          <w:numId w:val="1"/>
        </w:numPr>
        <w:jc w:val="both"/>
      </w:pPr>
      <w:r>
        <w:t xml:space="preserve">saada lepingu täitmiseks </w:t>
      </w:r>
      <w:proofErr w:type="spellStart"/>
      <w:r>
        <w:t>KUMilt</w:t>
      </w:r>
      <w:proofErr w:type="spellEnd"/>
      <w:r>
        <w:t xml:space="preserve"> vajalikku infot ja suuniseid;</w:t>
      </w:r>
    </w:p>
    <w:p w14:paraId="79C02D55" w14:textId="6D2DE672" w:rsidR="00684300" w:rsidRDefault="00684300" w:rsidP="00684300">
      <w:pPr>
        <w:pStyle w:val="ListParagraph"/>
        <w:numPr>
          <w:ilvl w:val="2"/>
          <w:numId w:val="1"/>
        </w:numPr>
        <w:jc w:val="both"/>
      </w:pPr>
      <w:r>
        <w:t xml:space="preserve">saada </w:t>
      </w:r>
      <w:r w:rsidR="002A2DE7">
        <w:t xml:space="preserve">infosüsteemi ülalpidamiskulude eest </w:t>
      </w:r>
      <w:r>
        <w:t>hüvitist</w:t>
      </w:r>
      <w:r w:rsidR="002A2DE7">
        <w:t xml:space="preserve"> vastavalt punktidele 1.1 ja 3;</w:t>
      </w:r>
      <w:r>
        <w:t xml:space="preserve"> </w:t>
      </w:r>
    </w:p>
    <w:p w14:paraId="4B70B270" w14:textId="77777777" w:rsidR="009A6B12" w:rsidRDefault="009A6B12" w:rsidP="009A6B12">
      <w:pPr>
        <w:pStyle w:val="ListParagraph"/>
        <w:numPr>
          <w:ilvl w:val="1"/>
          <w:numId w:val="1"/>
        </w:numPr>
        <w:jc w:val="both"/>
      </w:pPr>
      <w:r>
        <w:t>SMIT on kohustatud:</w:t>
      </w:r>
    </w:p>
    <w:p w14:paraId="52662BB8" w14:textId="2204D65A" w:rsidR="009A6B12" w:rsidRDefault="003946E8" w:rsidP="009A6B12">
      <w:pPr>
        <w:pStyle w:val="ListParagraph"/>
        <w:numPr>
          <w:ilvl w:val="2"/>
          <w:numId w:val="1"/>
        </w:numPr>
        <w:jc w:val="both"/>
      </w:pPr>
      <w:r>
        <w:t>tagama süsteemi ülalpidamise</w:t>
      </w:r>
      <w:r w:rsidR="00724DEA">
        <w:t xml:space="preserve"> </w:t>
      </w:r>
      <w:r w:rsidR="00F26F2F">
        <w:t xml:space="preserve">UUSSR </w:t>
      </w:r>
      <w:r w:rsidR="009A6B12">
        <w:t>lepingus</w:t>
      </w:r>
      <w:r w:rsidR="00FB4911">
        <w:t xml:space="preserve"> ja SLA-s</w:t>
      </w:r>
      <w:r w:rsidR="009A6B12">
        <w:t xml:space="preserve"> määratud tähtaegadel ja tingimuste kohaselt</w:t>
      </w:r>
      <w:r w:rsidR="002A2DE7">
        <w:t xml:space="preserve"> ulatuses, mis on rahastatud partnerluslepingu või käesoleva lepinguga</w:t>
      </w:r>
      <w:r w:rsidR="009A6B12">
        <w:t>;</w:t>
      </w:r>
    </w:p>
    <w:p w14:paraId="2C0BE619" w14:textId="7B348A17" w:rsidR="009A6B12" w:rsidRDefault="009A6B12" w:rsidP="009A6B12">
      <w:pPr>
        <w:pStyle w:val="ListParagraph"/>
        <w:numPr>
          <w:ilvl w:val="2"/>
          <w:numId w:val="1"/>
        </w:numPr>
        <w:jc w:val="both"/>
      </w:pPr>
      <w:r>
        <w:lastRenderedPageBreak/>
        <w:t>tagama töötajate olemasolu, kes täidavad lepingu</w:t>
      </w:r>
      <w:r w:rsidR="003946E8">
        <w:t xml:space="preserve"> </w:t>
      </w:r>
      <w:r>
        <w:t>eesmärkide saavutamiseks järgmisi tööülesandeid:</w:t>
      </w:r>
    </w:p>
    <w:p w14:paraId="34A960E2" w14:textId="4DB43DBA" w:rsidR="009A6B12" w:rsidRDefault="009A6B12" w:rsidP="009A6B12">
      <w:pPr>
        <w:pStyle w:val="ListParagraph"/>
        <w:numPr>
          <w:ilvl w:val="3"/>
          <w:numId w:val="1"/>
        </w:numPr>
        <w:jc w:val="both"/>
      </w:pPr>
      <w:r>
        <w:t>panevad kokku ning juhivad meeskonda, mis on vajalik t</w:t>
      </w:r>
      <w:r w:rsidR="00BE5985">
        <w:t xml:space="preserve">öö </w:t>
      </w:r>
      <w:r>
        <w:t>teostamiseks lepingu alusel;</w:t>
      </w:r>
    </w:p>
    <w:p w14:paraId="0AF844D6" w14:textId="16B0E21D" w:rsidR="00724DEA" w:rsidRDefault="00BE5985" w:rsidP="009A6B12">
      <w:pPr>
        <w:pStyle w:val="ListParagraph"/>
        <w:numPr>
          <w:ilvl w:val="3"/>
          <w:numId w:val="1"/>
        </w:numPr>
        <w:jc w:val="both"/>
      </w:pPr>
      <w:r>
        <w:t xml:space="preserve">tellivad </w:t>
      </w:r>
      <w:r w:rsidR="009A6B12">
        <w:t>tööjõuressurssi või spetsiifiliste pädevuste puudumisel töö</w:t>
      </w:r>
      <w:r w:rsidR="00FB4911">
        <w:t xml:space="preserve"> </w:t>
      </w:r>
      <w:r w:rsidR="009A6B12">
        <w:t>välistelt teenusepakkujalt;</w:t>
      </w:r>
    </w:p>
    <w:p w14:paraId="1E46DE0E" w14:textId="7894234C" w:rsidR="00A719B8" w:rsidRDefault="009A6B12" w:rsidP="009A6B12">
      <w:pPr>
        <w:pStyle w:val="ListParagraph"/>
        <w:numPr>
          <w:ilvl w:val="2"/>
          <w:numId w:val="1"/>
        </w:numPr>
        <w:jc w:val="both"/>
      </w:pPr>
      <w:r>
        <w:t xml:space="preserve">tagama raamatupidamise vastavuse raamatupidamise seadusele ning kasutama raamatupidamissüsteemi, mis võimaldab eristada </w:t>
      </w:r>
      <w:r w:rsidR="00A719B8">
        <w:t>töö teostamisega seonduvaid kulusid;</w:t>
      </w:r>
    </w:p>
    <w:p w14:paraId="11423854" w14:textId="12C97087" w:rsidR="00A719B8" w:rsidRDefault="009A6B12" w:rsidP="009A6B12">
      <w:pPr>
        <w:pStyle w:val="ListParagraph"/>
        <w:numPr>
          <w:ilvl w:val="2"/>
          <w:numId w:val="1"/>
        </w:numPr>
        <w:jc w:val="both"/>
      </w:pPr>
      <w:r>
        <w:t xml:space="preserve">võimaldama auditi, järelevalve </w:t>
      </w:r>
      <w:r w:rsidR="00A719B8">
        <w:t xml:space="preserve">või </w:t>
      </w:r>
      <w:r>
        <w:t xml:space="preserve">kontrolli teostamist ning osutama selleks igakülgset abi, võimaldama kontrollijale, audiitorile ja järelevalvet teostavale isikule ligipääsu </w:t>
      </w:r>
      <w:r w:rsidR="00493D10">
        <w:t>käesoleva lepingu esemega</w:t>
      </w:r>
      <w:r>
        <w:t xml:space="preserve"> seotud dokumentidele ja andmetele;</w:t>
      </w:r>
    </w:p>
    <w:p w14:paraId="3EA5D489" w14:textId="54EE9FCB" w:rsidR="00A719B8" w:rsidRDefault="009A6B12" w:rsidP="009A6B12">
      <w:pPr>
        <w:pStyle w:val="ListParagraph"/>
        <w:numPr>
          <w:ilvl w:val="2"/>
          <w:numId w:val="1"/>
        </w:numPr>
        <w:jc w:val="both"/>
      </w:pPr>
      <w:r>
        <w:t xml:space="preserve">leppima </w:t>
      </w:r>
      <w:r w:rsidR="00A719B8">
        <w:t>kulude</w:t>
      </w:r>
      <w:r>
        <w:t xml:space="preserve"> muutumisel või muutmisel täiendavate kulude finantseerimise</w:t>
      </w:r>
      <w:r w:rsidR="00A719B8">
        <w:t xml:space="preserve"> </w:t>
      </w:r>
      <w:proofErr w:type="spellStart"/>
      <w:r w:rsidR="00A719B8">
        <w:t>KUMiga</w:t>
      </w:r>
      <w:proofErr w:type="spellEnd"/>
      <w:r>
        <w:t xml:space="preserve"> eelnevalt kirjalikult kokku vastavalt lepingu punktile </w:t>
      </w:r>
      <w:r w:rsidR="00A719B8">
        <w:t>2.</w:t>
      </w:r>
      <w:r w:rsidR="00BE5985">
        <w:t>4</w:t>
      </w:r>
      <w:r w:rsidR="00A719B8">
        <w:t>.</w:t>
      </w:r>
      <w:r>
        <w:t>;</w:t>
      </w:r>
    </w:p>
    <w:p w14:paraId="38D2D195" w14:textId="474C6211" w:rsidR="009A6B12" w:rsidRPr="009C726E" w:rsidRDefault="009A6B12" w:rsidP="009A6B12">
      <w:pPr>
        <w:pStyle w:val="ListParagraph"/>
        <w:numPr>
          <w:ilvl w:val="2"/>
          <w:numId w:val="1"/>
        </w:numPr>
        <w:jc w:val="both"/>
      </w:pPr>
      <w:r>
        <w:t>tagama, et välditakse kulude mitmekordset rahastamist erinevate meetmete raames</w:t>
      </w:r>
      <w:r w:rsidR="00A719B8">
        <w:t xml:space="preserve">, eelkõige </w:t>
      </w:r>
      <w:proofErr w:type="spellStart"/>
      <w:r w:rsidR="00A719B8">
        <w:t>KUMi</w:t>
      </w:r>
      <w:proofErr w:type="spellEnd"/>
      <w:r w:rsidR="00A719B8">
        <w:t xml:space="preserve"> ja </w:t>
      </w:r>
      <w:proofErr w:type="spellStart"/>
      <w:r w:rsidR="00A719B8">
        <w:t>SMITi</w:t>
      </w:r>
      <w:proofErr w:type="spellEnd"/>
      <w:r w:rsidR="00A719B8">
        <w:t xml:space="preserve"> vahel sõlmitud partnerluslepingu</w:t>
      </w:r>
      <w:r w:rsidR="00BE5985">
        <w:t>st</w:t>
      </w:r>
      <w:r w:rsidR="00A719B8">
        <w:t xml:space="preserve"> nr </w:t>
      </w:r>
      <w:bookmarkStart w:id="1" w:name="Tekst2"/>
      <w:r w:rsidR="00A719B8" w:rsidRPr="009C726E">
        <w:rPr>
          <w:noProof/>
        </w:rPr>
        <w:t>[...]</w:t>
      </w:r>
      <w:bookmarkEnd w:id="1"/>
      <w:r w:rsidRPr="009C726E">
        <w:t>;</w:t>
      </w:r>
    </w:p>
    <w:p w14:paraId="7DA674A6" w14:textId="77777777" w:rsidR="009A6B12" w:rsidRDefault="009A6B12" w:rsidP="009A6B12">
      <w:pPr>
        <w:jc w:val="both"/>
      </w:pPr>
    </w:p>
    <w:p w14:paraId="12EE48F3" w14:textId="29C5A64C" w:rsidR="00A719B8" w:rsidRDefault="00A719B8" w:rsidP="009A6B12">
      <w:pPr>
        <w:pStyle w:val="ListParagraph"/>
        <w:numPr>
          <w:ilvl w:val="0"/>
          <w:numId w:val="1"/>
        </w:numPr>
        <w:jc w:val="both"/>
        <w:rPr>
          <w:b/>
          <w:bCs/>
        </w:rPr>
      </w:pPr>
      <w:proofErr w:type="spellStart"/>
      <w:r w:rsidRPr="00A719B8">
        <w:rPr>
          <w:b/>
          <w:bCs/>
        </w:rPr>
        <w:t>KUM</w:t>
      </w:r>
      <w:r>
        <w:rPr>
          <w:b/>
          <w:bCs/>
        </w:rPr>
        <w:t>i</w:t>
      </w:r>
      <w:proofErr w:type="spellEnd"/>
      <w:r>
        <w:rPr>
          <w:b/>
          <w:bCs/>
        </w:rPr>
        <w:t xml:space="preserve"> </w:t>
      </w:r>
      <w:r w:rsidR="00684300">
        <w:rPr>
          <w:b/>
          <w:bCs/>
        </w:rPr>
        <w:t xml:space="preserve">õigused ja </w:t>
      </w:r>
      <w:r w:rsidRPr="00A719B8">
        <w:rPr>
          <w:b/>
          <w:bCs/>
        </w:rPr>
        <w:t>kohustused</w:t>
      </w:r>
    </w:p>
    <w:p w14:paraId="17D2198F" w14:textId="75069DA2" w:rsidR="00E30D77" w:rsidRPr="00E30D77" w:rsidRDefault="00E30D77" w:rsidP="009A6B12">
      <w:pPr>
        <w:pStyle w:val="ListParagraph"/>
        <w:numPr>
          <w:ilvl w:val="1"/>
          <w:numId w:val="1"/>
        </w:numPr>
        <w:jc w:val="both"/>
        <w:rPr>
          <w:b/>
          <w:bCs/>
        </w:rPr>
      </w:pPr>
      <w:proofErr w:type="spellStart"/>
      <w:r>
        <w:t>KUMil</w:t>
      </w:r>
      <w:proofErr w:type="spellEnd"/>
      <w:r>
        <w:t xml:space="preserve"> on õigus:</w:t>
      </w:r>
    </w:p>
    <w:p w14:paraId="759E2658" w14:textId="717E3E5F" w:rsidR="00E30D77" w:rsidRPr="00FE3C8E" w:rsidRDefault="00E30D77" w:rsidP="00E30D77">
      <w:pPr>
        <w:pStyle w:val="ListParagraph"/>
        <w:numPr>
          <w:ilvl w:val="2"/>
          <w:numId w:val="1"/>
        </w:numPr>
        <w:jc w:val="both"/>
      </w:pPr>
      <w:r w:rsidRPr="00FE3C8E">
        <w:t xml:space="preserve">anda </w:t>
      </w:r>
      <w:proofErr w:type="spellStart"/>
      <w:r w:rsidRPr="00FE3C8E">
        <w:t>SMITile</w:t>
      </w:r>
      <w:proofErr w:type="spellEnd"/>
      <w:r w:rsidRPr="00FE3C8E">
        <w:t xml:space="preserve"> lepingu täitmisel juhiseid, mis vajadusel fikseeritakse kirjalikult ja teha asjakohaseid ettepanekuid töö</w:t>
      </w:r>
      <w:r w:rsidR="000E2C4B" w:rsidRPr="00FE3C8E">
        <w:t>de teostamise</w:t>
      </w:r>
      <w:r w:rsidRPr="00FE3C8E">
        <w:t xml:space="preserve"> kohta;</w:t>
      </w:r>
    </w:p>
    <w:p w14:paraId="23A7CE48" w14:textId="48A93EBD" w:rsidR="00A719B8" w:rsidRPr="00A719B8" w:rsidRDefault="00A719B8" w:rsidP="009A6B12">
      <w:pPr>
        <w:pStyle w:val="ListParagraph"/>
        <w:numPr>
          <w:ilvl w:val="1"/>
          <w:numId w:val="1"/>
        </w:numPr>
        <w:jc w:val="both"/>
        <w:rPr>
          <w:b/>
          <w:bCs/>
        </w:rPr>
      </w:pPr>
      <w:r w:rsidRPr="00A719B8">
        <w:t xml:space="preserve">KUM </w:t>
      </w:r>
      <w:r w:rsidR="009A6B12">
        <w:t>on kohustatud:</w:t>
      </w:r>
    </w:p>
    <w:p w14:paraId="6647E19E" w14:textId="00C189C8" w:rsidR="00A719B8" w:rsidRPr="00D1065E" w:rsidRDefault="009A6B12" w:rsidP="009A6B12">
      <w:pPr>
        <w:pStyle w:val="ListParagraph"/>
        <w:numPr>
          <w:ilvl w:val="2"/>
          <w:numId w:val="1"/>
        </w:numPr>
        <w:jc w:val="both"/>
        <w:rPr>
          <w:b/>
          <w:bCs/>
        </w:rPr>
      </w:pPr>
      <w:r w:rsidRPr="00D1065E">
        <w:t xml:space="preserve">tagama </w:t>
      </w:r>
      <w:proofErr w:type="spellStart"/>
      <w:r w:rsidR="00A719B8" w:rsidRPr="00D1065E">
        <w:t>SMITile</w:t>
      </w:r>
      <w:proofErr w:type="spellEnd"/>
      <w:r w:rsidRPr="00D1065E">
        <w:t xml:space="preserve"> vajaliku informatsiooni </w:t>
      </w:r>
      <w:r w:rsidR="002154E0" w:rsidRPr="00D1065E">
        <w:t>lepingu täitmiseks</w:t>
      </w:r>
      <w:r w:rsidRPr="00D1065E">
        <w:t>;</w:t>
      </w:r>
    </w:p>
    <w:p w14:paraId="282E4C87" w14:textId="7BC684C8" w:rsidR="00E30D77" w:rsidRPr="00E30D77" w:rsidRDefault="00D1065E" w:rsidP="00E30D77">
      <w:pPr>
        <w:pStyle w:val="ListParagraph"/>
        <w:numPr>
          <w:ilvl w:val="2"/>
          <w:numId w:val="1"/>
        </w:numPr>
        <w:jc w:val="both"/>
        <w:rPr>
          <w:b/>
          <w:bCs/>
        </w:rPr>
      </w:pPr>
      <w:r>
        <w:t xml:space="preserve">tagama </w:t>
      </w:r>
      <w:proofErr w:type="spellStart"/>
      <w:r>
        <w:t>SMITile</w:t>
      </w:r>
      <w:proofErr w:type="spellEnd"/>
      <w:r w:rsidR="003946E8">
        <w:t xml:space="preserve"> </w:t>
      </w:r>
      <w:r>
        <w:t>lepingu eseme eest hüvitise maksmise</w:t>
      </w:r>
      <w:r w:rsidR="002154E0">
        <w:t xml:space="preserve"> </w:t>
      </w:r>
      <w:r w:rsidR="009A6B12">
        <w:t>vastavalt leping</w:t>
      </w:r>
      <w:r w:rsidR="00A719B8">
        <w:t>u punktis 3</w:t>
      </w:r>
      <w:r w:rsidR="009A6B12">
        <w:t xml:space="preserve"> sätestatule.</w:t>
      </w:r>
    </w:p>
    <w:p w14:paraId="66ADE165" w14:textId="58206BBD" w:rsidR="00E30D77" w:rsidRPr="00E30D77" w:rsidRDefault="00E30D77" w:rsidP="00E30D77">
      <w:pPr>
        <w:pStyle w:val="ListParagraph"/>
        <w:numPr>
          <w:ilvl w:val="2"/>
          <w:numId w:val="1"/>
        </w:numPr>
        <w:jc w:val="both"/>
      </w:pPr>
      <w:r w:rsidRPr="00E30D77">
        <w:t xml:space="preserve">teavitama </w:t>
      </w:r>
      <w:proofErr w:type="spellStart"/>
      <w:r w:rsidR="000E2C4B">
        <w:t>SMITi</w:t>
      </w:r>
      <w:proofErr w:type="spellEnd"/>
      <w:r w:rsidR="000E2C4B">
        <w:t xml:space="preserve"> </w:t>
      </w:r>
      <w:r w:rsidRPr="00E30D77">
        <w:t>viivitamatult asjaoludest, mis mõjutavad või võivad mõjutada lepingu nõuetekohast täitmist ning takistada lepingus sätestatud eesmärkide nõuetekohast saavutamist.</w:t>
      </w:r>
    </w:p>
    <w:p w14:paraId="71F6C446" w14:textId="77777777" w:rsidR="00A719B8" w:rsidRPr="00A719B8" w:rsidRDefault="00A719B8" w:rsidP="00A719B8">
      <w:pPr>
        <w:pStyle w:val="ListParagraph"/>
        <w:ind w:left="1213"/>
        <w:jc w:val="both"/>
        <w:rPr>
          <w:b/>
          <w:bCs/>
        </w:rPr>
      </w:pPr>
    </w:p>
    <w:p w14:paraId="1E4F7F60" w14:textId="5093DB35" w:rsidR="009A6B12" w:rsidRPr="009A6B12" w:rsidRDefault="00B631EB" w:rsidP="009A6B12">
      <w:pPr>
        <w:pStyle w:val="ListParagraph"/>
        <w:numPr>
          <w:ilvl w:val="0"/>
          <w:numId w:val="1"/>
        </w:numPr>
        <w:spacing w:after="160" w:line="256" w:lineRule="auto"/>
        <w:contextualSpacing/>
        <w:jc w:val="both"/>
        <w:rPr>
          <w:b/>
          <w:bCs/>
        </w:rPr>
      </w:pPr>
      <w:r w:rsidRPr="00180D0E">
        <w:rPr>
          <w:b/>
          <w:bCs/>
        </w:rPr>
        <w:t xml:space="preserve">Konfidentsiaalsus </w:t>
      </w:r>
    </w:p>
    <w:p w14:paraId="1E53367F" w14:textId="42E67627" w:rsidR="00B631EB" w:rsidRPr="00677093" w:rsidRDefault="00B631EB" w:rsidP="00B631EB">
      <w:pPr>
        <w:pStyle w:val="ListParagraph"/>
        <w:numPr>
          <w:ilvl w:val="1"/>
          <w:numId w:val="1"/>
        </w:numPr>
        <w:spacing w:after="160" w:line="256" w:lineRule="auto"/>
        <w:contextualSpacing/>
        <w:jc w:val="both"/>
      </w:pPr>
      <w:r w:rsidRPr="00677093">
        <w:t xml:space="preserve">Pooled kohustuvad mitte avalikustama kolmandatele isikutele lepingu alusel saadud konfidentsiaalset teavet, välja arvatud seaduses sätestatud juhtudel. </w:t>
      </w:r>
    </w:p>
    <w:p w14:paraId="42580FEE" w14:textId="590E189E" w:rsidR="00151269" w:rsidRDefault="00B631EB" w:rsidP="00B631EB">
      <w:pPr>
        <w:pStyle w:val="ListParagraph"/>
        <w:numPr>
          <w:ilvl w:val="1"/>
          <w:numId w:val="1"/>
        </w:numPr>
        <w:spacing w:after="160" w:line="256" w:lineRule="auto"/>
        <w:contextualSpacing/>
        <w:jc w:val="both"/>
      </w:pPr>
      <w:r>
        <w:t>Pooled</w:t>
      </w:r>
      <w:r w:rsidRPr="00677093">
        <w:t xml:space="preserve"> täida</w:t>
      </w:r>
      <w:r>
        <w:t>vad</w:t>
      </w:r>
      <w:r w:rsidRPr="00677093">
        <w:t xml:space="preserve"> kõiki kehtivaid andmekaitsealaseid ja infoturvet puudutavaid õigusakte</w:t>
      </w:r>
      <w:r w:rsidR="00151269">
        <w:t>, sealjuures neile</w:t>
      </w:r>
      <w:r w:rsidR="00151269" w:rsidRPr="00151269">
        <w:t xml:space="preserve"> </w:t>
      </w:r>
      <w:r w:rsidR="00151269">
        <w:t xml:space="preserve">siseministri </w:t>
      </w:r>
      <w:r w:rsidR="00151269" w:rsidRPr="00151269">
        <w:t xml:space="preserve">18.12.2015 </w:t>
      </w:r>
      <w:r w:rsidR="00151269">
        <w:t xml:space="preserve">määrusega </w:t>
      </w:r>
      <w:r w:rsidR="00151269" w:rsidRPr="00151269">
        <w:t>nr 81</w:t>
      </w:r>
      <w:r w:rsidR="00151269">
        <w:t xml:space="preserve"> „E</w:t>
      </w:r>
      <w:r w:rsidR="00151269" w:rsidRPr="00151269">
        <w:t>lamislubade ja töölubade regist</w:t>
      </w:r>
      <w:r w:rsidR="00151269">
        <w:t xml:space="preserve">ri </w:t>
      </w:r>
      <w:r w:rsidR="00151269" w:rsidRPr="00151269">
        <w:t>põhimäärus</w:t>
      </w:r>
      <w:r w:rsidR="00151269">
        <w:t>“ kehtestatud vastutava ja volitatud töötleja kohustusi.</w:t>
      </w:r>
    </w:p>
    <w:p w14:paraId="795E78A1" w14:textId="09E0E97E" w:rsidR="00B631EB" w:rsidRPr="00677093" w:rsidRDefault="00B631EB" w:rsidP="00B631EB">
      <w:pPr>
        <w:pStyle w:val="ListParagraph"/>
        <w:numPr>
          <w:ilvl w:val="1"/>
          <w:numId w:val="1"/>
        </w:numPr>
        <w:spacing w:after="160" w:line="256" w:lineRule="auto"/>
        <w:contextualSpacing/>
        <w:jc w:val="both"/>
      </w:pPr>
      <w:r>
        <w:t>Pooled</w:t>
      </w:r>
      <w:r w:rsidRPr="00677093">
        <w:t xml:space="preserve"> edastavad konfidentsiaalset teavet ainult nendele isikutele, kes on lepingu täitmisega otseselt seotud, ja kindlustavad, et need isikud on konfidentsiaalsusnõudest teadlikud ja seda täidavad. </w:t>
      </w:r>
    </w:p>
    <w:p w14:paraId="3846B82B" w14:textId="77777777" w:rsidR="00B631EB" w:rsidRPr="00677093" w:rsidRDefault="00B631EB" w:rsidP="00B631EB">
      <w:pPr>
        <w:pStyle w:val="ListParagraph"/>
        <w:numPr>
          <w:ilvl w:val="1"/>
          <w:numId w:val="1"/>
        </w:numPr>
        <w:spacing w:after="160" w:line="256" w:lineRule="auto"/>
        <w:contextualSpacing/>
        <w:jc w:val="both"/>
      </w:pPr>
      <w:r w:rsidRPr="00677093">
        <w:t xml:space="preserve">Konfidentsiaalse teabena käsitavad pooled lepingu täitmisel teatavaks saanud isikuandmeid, turvaandmeid, teavet, millele on kehtestatud juurdepääsupiirang, ning muud teavet, mille avalikuks tulek võiks kahjustada poolte huve. </w:t>
      </w:r>
    </w:p>
    <w:p w14:paraId="0C1410E2" w14:textId="77777777" w:rsidR="00B631EB" w:rsidRPr="00677093" w:rsidRDefault="00B631EB" w:rsidP="00B631EB">
      <w:pPr>
        <w:pStyle w:val="ListParagraph"/>
        <w:numPr>
          <w:ilvl w:val="1"/>
          <w:numId w:val="1"/>
        </w:numPr>
        <w:spacing w:after="160" w:line="256" w:lineRule="auto"/>
        <w:contextualSpacing/>
        <w:jc w:val="both"/>
      </w:pPr>
      <w:r w:rsidRPr="00677093">
        <w:t xml:space="preserve">Vastutus konfidentsiaalsuskohustuse täitmise eest lasub töövõtjal kõigi isikute eest, kelle ta on lepingu täitmisse kaasanud. </w:t>
      </w:r>
    </w:p>
    <w:p w14:paraId="53DACBDB" w14:textId="2219AFE0" w:rsidR="003946E8" w:rsidRDefault="00B631EB" w:rsidP="00151269">
      <w:pPr>
        <w:pStyle w:val="ListParagraph"/>
        <w:numPr>
          <w:ilvl w:val="1"/>
          <w:numId w:val="1"/>
        </w:numPr>
        <w:spacing w:after="160" w:line="256" w:lineRule="auto"/>
        <w:contextualSpacing/>
        <w:jc w:val="both"/>
      </w:pPr>
      <w:r w:rsidRPr="00677093">
        <w:t xml:space="preserve">Konfidentsiaalsusnõue kehtib ka pärast lepinguliste kohustuste täitmist. </w:t>
      </w:r>
    </w:p>
    <w:p w14:paraId="03670DBA" w14:textId="58DA109C" w:rsidR="0020432C" w:rsidRDefault="0020432C" w:rsidP="0020432C">
      <w:pPr>
        <w:pStyle w:val="ListParagraph"/>
        <w:spacing w:after="160" w:line="256" w:lineRule="auto"/>
        <w:ind w:left="432"/>
        <w:contextualSpacing/>
        <w:jc w:val="both"/>
      </w:pPr>
    </w:p>
    <w:p w14:paraId="4FD7463A" w14:textId="4150A852" w:rsidR="00E30D77" w:rsidRDefault="00684300" w:rsidP="00E30D77">
      <w:pPr>
        <w:pStyle w:val="ListParagraph"/>
        <w:numPr>
          <w:ilvl w:val="0"/>
          <w:numId w:val="1"/>
        </w:numPr>
        <w:spacing w:after="160" w:line="256" w:lineRule="auto"/>
        <w:contextualSpacing/>
        <w:jc w:val="both"/>
        <w:rPr>
          <w:b/>
          <w:bCs/>
        </w:rPr>
      </w:pPr>
      <w:r>
        <w:rPr>
          <w:b/>
          <w:bCs/>
        </w:rPr>
        <w:t>Poolte vastutus</w:t>
      </w:r>
    </w:p>
    <w:p w14:paraId="006465D0" w14:textId="26A27AC3" w:rsidR="00684300" w:rsidRPr="00684300" w:rsidRDefault="00684300" w:rsidP="00E30D77">
      <w:pPr>
        <w:pStyle w:val="ListParagraph"/>
        <w:numPr>
          <w:ilvl w:val="1"/>
          <w:numId w:val="1"/>
        </w:numPr>
        <w:spacing w:after="160" w:line="256" w:lineRule="auto"/>
        <w:contextualSpacing/>
        <w:jc w:val="both"/>
        <w:rPr>
          <w:b/>
          <w:bCs/>
        </w:rPr>
      </w:pPr>
      <w:r w:rsidRPr="00684300">
        <w:t>Pooled vastutavad oma lepinguliste kohustuste rikkumise eest seaduses ja lepingus sätestatud korras.</w:t>
      </w:r>
    </w:p>
    <w:p w14:paraId="424C4609" w14:textId="38B0C1E6" w:rsidR="00684300" w:rsidRDefault="00684300" w:rsidP="00E30D77">
      <w:pPr>
        <w:pStyle w:val="ListParagraph"/>
        <w:numPr>
          <w:ilvl w:val="1"/>
          <w:numId w:val="1"/>
        </w:numPr>
        <w:spacing w:after="160" w:line="256" w:lineRule="auto"/>
        <w:contextualSpacing/>
        <w:jc w:val="both"/>
      </w:pPr>
      <w:r>
        <w:t>SMIT</w:t>
      </w:r>
      <w:r w:rsidRPr="00684300">
        <w:t xml:space="preserve"> vastutab oma alltöövõtjate ja nende esindajate või töötajate tegevuse ja rikkumiste eest, nagu enda tegude eest. Mis tahes lepingu osa alltöövõtu korras täitmise või alltöövõtja poolt lepingu mis tahes osa täitmise heakskiitmine </w:t>
      </w:r>
      <w:proofErr w:type="spellStart"/>
      <w:r>
        <w:t>KUMi</w:t>
      </w:r>
      <w:proofErr w:type="spellEnd"/>
      <w:r w:rsidRPr="00684300">
        <w:t xml:space="preserve"> poolt ei vabasta </w:t>
      </w:r>
      <w:proofErr w:type="spellStart"/>
      <w:r>
        <w:t>SMITi</w:t>
      </w:r>
      <w:proofErr w:type="spellEnd"/>
      <w:r w:rsidRPr="00684300">
        <w:t xml:space="preserve"> ühestki tema lepingujärgsest kohustusest.</w:t>
      </w:r>
    </w:p>
    <w:p w14:paraId="700B5F2E" w14:textId="0AD888FE" w:rsidR="00684300" w:rsidRPr="00684300" w:rsidRDefault="00684300" w:rsidP="00684300">
      <w:pPr>
        <w:pStyle w:val="ListParagraph"/>
        <w:numPr>
          <w:ilvl w:val="1"/>
          <w:numId w:val="1"/>
        </w:numPr>
        <w:spacing w:after="160" w:line="256" w:lineRule="auto"/>
        <w:contextualSpacing/>
        <w:jc w:val="both"/>
        <w:rPr>
          <w:b/>
          <w:bCs/>
        </w:rPr>
      </w:pPr>
      <w:r>
        <w:t xml:space="preserve">Lepingu täitmise lõpetamine või mittenõuetekohane täitmine loetakse põhjendatuks, kui see on tingitud vääramatust jõust, see tähendab asjaolust, mille tekkimist, kestust või lõppemist pooled ei saanud mõjutada ja mõistlikkuse põhimõttest lähtudes ei saanud neilt oodata, et nad lepingu sõlmimise ajal selle asjaoluga arvestaksid või seda väldiksid või takistava asjaolu või selle tagajärje ületaksid.  </w:t>
      </w:r>
    </w:p>
    <w:p w14:paraId="300C2EE6" w14:textId="2CB6D47C" w:rsidR="00684300" w:rsidRPr="00684300" w:rsidRDefault="00684300" w:rsidP="00684300">
      <w:pPr>
        <w:pStyle w:val="ListParagraph"/>
        <w:numPr>
          <w:ilvl w:val="1"/>
          <w:numId w:val="1"/>
        </w:numPr>
        <w:spacing w:after="160" w:line="256" w:lineRule="auto"/>
        <w:contextualSpacing/>
        <w:jc w:val="both"/>
        <w:rPr>
          <w:b/>
          <w:bCs/>
        </w:rPr>
      </w:pPr>
      <w:r>
        <w:t>Pooled on kohustatud rakendama asjakohaseid meetmeid, et hoida ära teisele poolele kahju tekitamine ning tagada võimaluste piires lepingust tulenevate ja sellega seotud kohustuste täitmine.</w:t>
      </w:r>
    </w:p>
    <w:p w14:paraId="7149842F" w14:textId="77777777" w:rsidR="00684300" w:rsidRPr="00684300" w:rsidRDefault="00684300" w:rsidP="00684300">
      <w:pPr>
        <w:pStyle w:val="ListParagraph"/>
        <w:numPr>
          <w:ilvl w:val="1"/>
          <w:numId w:val="1"/>
        </w:numPr>
        <w:spacing w:after="160" w:line="256" w:lineRule="auto"/>
        <w:contextualSpacing/>
        <w:jc w:val="both"/>
      </w:pPr>
      <w:r w:rsidRPr="00684300">
        <w:t>Pool, kelle tegevus lepingujärgsete kohustuste täitmisel on takistatud vääramatu jõu asjaolude tõttu, on kohustatud sellest kohe, see tähendab viie kalendripäeva jooksul, kirjalikult või elektrooniliselt teatama teisele poolele, märkides vääramatu jõu laadi, tõenäolise kestuse ja arvatava mõju. Mitteteatamine või mitteõigeaegne teatamine võtab poolelt õiguse viidata lepingus sätestatud kohustuste rikkumise põhjendatusele.</w:t>
      </w:r>
    </w:p>
    <w:p w14:paraId="2C60EAF9" w14:textId="66E34E40" w:rsidR="00684300" w:rsidRPr="00684300" w:rsidRDefault="00684300" w:rsidP="00684300">
      <w:pPr>
        <w:pStyle w:val="ListParagraph"/>
        <w:numPr>
          <w:ilvl w:val="1"/>
          <w:numId w:val="1"/>
        </w:numPr>
        <w:spacing w:after="160" w:line="256" w:lineRule="auto"/>
        <w:contextualSpacing/>
        <w:jc w:val="both"/>
      </w:pPr>
      <w:r w:rsidRPr="00684300">
        <w:t>Vääramatu jõu esinemine peab olema tõendatud poole poolt, kes viitab vääramatu jõu esinemisele.</w:t>
      </w:r>
    </w:p>
    <w:p w14:paraId="7D0262EC" w14:textId="153F0458" w:rsidR="00684300" w:rsidRDefault="00684300" w:rsidP="00684300">
      <w:pPr>
        <w:pStyle w:val="ListParagraph"/>
        <w:numPr>
          <w:ilvl w:val="1"/>
          <w:numId w:val="1"/>
        </w:numPr>
        <w:spacing w:after="160" w:line="256" w:lineRule="auto"/>
        <w:contextualSpacing/>
        <w:jc w:val="both"/>
      </w:pPr>
      <w:r w:rsidRPr="00684300">
        <w:t>Kui vääramatu jõu tõttu on poole lepingust tulenevate kohustuste täitmine takistatud enam kui 90 päeva järjest, võivad pooled lepingu lõpetada.</w:t>
      </w:r>
    </w:p>
    <w:p w14:paraId="2D965F17" w14:textId="77777777" w:rsidR="000E2C4B" w:rsidRDefault="000E2C4B" w:rsidP="000E2C4B">
      <w:pPr>
        <w:pStyle w:val="ListParagraph"/>
        <w:spacing w:after="160" w:line="256" w:lineRule="auto"/>
        <w:ind w:left="432"/>
        <w:contextualSpacing/>
        <w:jc w:val="both"/>
      </w:pPr>
    </w:p>
    <w:p w14:paraId="59BDBDB4" w14:textId="18304FC8" w:rsidR="00684300" w:rsidRPr="00684300" w:rsidRDefault="00897731" w:rsidP="00684300">
      <w:pPr>
        <w:pStyle w:val="ListParagraph"/>
        <w:numPr>
          <w:ilvl w:val="0"/>
          <w:numId w:val="1"/>
        </w:numPr>
        <w:spacing w:after="160" w:line="256" w:lineRule="auto"/>
        <w:contextualSpacing/>
        <w:jc w:val="both"/>
        <w:rPr>
          <w:b/>
          <w:bCs/>
        </w:rPr>
      </w:pPr>
      <w:r w:rsidRPr="00180D0E">
        <w:rPr>
          <w:b/>
          <w:bCs/>
        </w:rPr>
        <w:t xml:space="preserve">Pooltevahelised teated ja kontaktisikud </w:t>
      </w:r>
    </w:p>
    <w:p w14:paraId="3CF01726" w14:textId="4E56245C" w:rsidR="00897731" w:rsidRPr="00702AA5" w:rsidRDefault="00897731" w:rsidP="00A719B8">
      <w:pPr>
        <w:pStyle w:val="ListParagraph"/>
        <w:numPr>
          <w:ilvl w:val="1"/>
          <w:numId w:val="1"/>
        </w:numPr>
        <w:tabs>
          <w:tab w:val="left" w:pos="993"/>
        </w:tabs>
        <w:spacing w:after="160" w:line="256" w:lineRule="auto"/>
        <w:contextualSpacing/>
        <w:jc w:val="both"/>
      </w:pPr>
      <w:r w:rsidRPr="00677093">
        <w:t xml:space="preserve">Pooltevahelised lepinguga seotud teated peavad olema esitatud kirjalikult, välja arvatud juhul, kui sellised teated on informatsioonilise sisuga, mille edastamisel teisele poolele ei </w:t>
      </w:r>
      <w:r w:rsidRPr="00702AA5">
        <w:t xml:space="preserve">ole õiguslikke tagajärgi. </w:t>
      </w:r>
    </w:p>
    <w:p w14:paraId="765855F0" w14:textId="6AEFD261" w:rsidR="00A719B8" w:rsidRPr="00702AA5" w:rsidRDefault="00A719B8" w:rsidP="00A719B8">
      <w:pPr>
        <w:pStyle w:val="ListParagraph"/>
        <w:numPr>
          <w:ilvl w:val="1"/>
          <w:numId w:val="1"/>
        </w:numPr>
        <w:tabs>
          <w:tab w:val="left" w:pos="993"/>
        </w:tabs>
        <w:spacing w:after="160" w:line="256" w:lineRule="auto"/>
        <w:contextualSpacing/>
        <w:jc w:val="both"/>
      </w:pPr>
      <w:r w:rsidRPr="00702AA5">
        <w:t>Teade loetakse kätte saaduks selle edastamisel teise poole kontaktisiku e-posti aadressile või e-toetuse keskkonna postkasti.</w:t>
      </w:r>
    </w:p>
    <w:p w14:paraId="61B4DF60" w14:textId="45173C3D" w:rsidR="00897731" w:rsidRPr="00702AA5" w:rsidRDefault="00E30D77" w:rsidP="00897731">
      <w:pPr>
        <w:pStyle w:val="ListParagraph"/>
        <w:numPr>
          <w:ilvl w:val="1"/>
          <w:numId w:val="1"/>
        </w:numPr>
        <w:tabs>
          <w:tab w:val="left" w:pos="993"/>
        </w:tabs>
        <w:spacing w:after="160" w:line="256" w:lineRule="auto"/>
        <w:contextualSpacing/>
        <w:jc w:val="both"/>
      </w:pPr>
      <w:proofErr w:type="spellStart"/>
      <w:r w:rsidRPr="00702AA5">
        <w:t>KUMi</w:t>
      </w:r>
      <w:proofErr w:type="spellEnd"/>
      <w:r w:rsidR="00897731" w:rsidRPr="00702AA5">
        <w:t xml:space="preserve"> kontaktisik lepingu täitmisel on </w:t>
      </w:r>
      <w:r w:rsidR="001A0846" w:rsidRPr="00702AA5">
        <w:t>Margarita Källo</w:t>
      </w:r>
      <w:r w:rsidR="00897731" w:rsidRPr="00702AA5">
        <w:t xml:space="preserve">, kultuurilise mitmekesisuse osakond, nõunik, </w:t>
      </w:r>
      <w:hyperlink r:id="rId6" w:history="1">
        <w:r w:rsidR="001A0846" w:rsidRPr="00702AA5">
          <w:rPr>
            <w:rStyle w:val="Hyperlink"/>
          </w:rPr>
          <w:t>margarita.kallo@kul.ee</w:t>
        </w:r>
      </w:hyperlink>
      <w:r w:rsidR="00C11848" w:rsidRPr="00702AA5">
        <w:t xml:space="preserve"> </w:t>
      </w:r>
    </w:p>
    <w:p w14:paraId="323B8C4D" w14:textId="3EE6DF5E" w:rsidR="00E30D77" w:rsidRDefault="00E30D77" w:rsidP="00E30D77">
      <w:pPr>
        <w:pStyle w:val="ListParagraph"/>
        <w:numPr>
          <w:ilvl w:val="1"/>
          <w:numId w:val="1"/>
        </w:numPr>
        <w:tabs>
          <w:tab w:val="left" w:pos="993"/>
        </w:tabs>
        <w:spacing w:after="160" w:line="256" w:lineRule="auto"/>
        <w:contextualSpacing/>
        <w:jc w:val="both"/>
      </w:pPr>
      <w:proofErr w:type="spellStart"/>
      <w:r>
        <w:t>SMITi</w:t>
      </w:r>
      <w:proofErr w:type="spellEnd"/>
      <w:r w:rsidR="00897731" w:rsidRPr="00677093">
        <w:t xml:space="preserve"> kontaktisikuks lepingu täitmisel on </w:t>
      </w:r>
      <w:r w:rsidR="001A0846">
        <w:t>Liisi Tali</w:t>
      </w:r>
      <w:r w:rsidR="00897731">
        <w:t xml:space="preserve">, </w:t>
      </w:r>
      <w:hyperlink r:id="rId7" w:history="1">
        <w:r w:rsidR="001A0846" w:rsidRPr="00417DF3">
          <w:rPr>
            <w:rStyle w:val="Hyperlink"/>
          </w:rPr>
          <w:t>liisi.tali@smit.ee</w:t>
        </w:r>
      </w:hyperlink>
      <w:r w:rsidR="00897731">
        <w:t xml:space="preserve"> </w:t>
      </w:r>
    </w:p>
    <w:p w14:paraId="49FF639D" w14:textId="3CD5156D" w:rsidR="00897731" w:rsidRDefault="00E30D77" w:rsidP="00E30D77">
      <w:pPr>
        <w:pStyle w:val="ListParagraph"/>
        <w:numPr>
          <w:ilvl w:val="1"/>
          <w:numId w:val="1"/>
        </w:numPr>
        <w:tabs>
          <w:tab w:val="left" w:pos="993"/>
        </w:tabs>
        <w:spacing w:after="160" w:line="256" w:lineRule="auto"/>
        <w:contextualSpacing/>
        <w:jc w:val="both"/>
      </w:pPr>
      <w:r w:rsidRPr="00E30D77">
        <w:t xml:space="preserve">Pooled kohustuvad teineteisele teatama oma kontaktandmete muutumisest viie tööpäeva jooksul enne vastavate andmete muutumist teatega teise poole e-posti </w:t>
      </w:r>
      <w:proofErr w:type="spellStart"/>
      <w:r w:rsidRPr="00E30D77">
        <w:t>üldaadressile</w:t>
      </w:r>
      <w:proofErr w:type="spellEnd"/>
      <w:r w:rsidRPr="00E30D77">
        <w:t>. Kuni käesolevas punktis sätestatud tähtaja saabumiseni loetakse lepingus esitatud poole kontaktandmetele edastatud teade kohaselt edastatuks.</w:t>
      </w:r>
    </w:p>
    <w:p w14:paraId="55A3CFFC" w14:textId="77777777" w:rsidR="00684300" w:rsidRDefault="00684300" w:rsidP="00684300">
      <w:pPr>
        <w:pStyle w:val="ListParagraph"/>
        <w:tabs>
          <w:tab w:val="left" w:pos="993"/>
        </w:tabs>
        <w:spacing w:after="160" w:line="256" w:lineRule="auto"/>
        <w:ind w:left="432"/>
        <w:contextualSpacing/>
        <w:jc w:val="both"/>
      </w:pPr>
    </w:p>
    <w:p w14:paraId="086EEB24" w14:textId="3DD10009" w:rsidR="00684300" w:rsidRPr="00684300" w:rsidRDefault="00684300" w:rsidP="00684300">
      <w:pPr>
        <w:pStyle w:val="ListParagraph"/>
        <w:numPr>
          <w:ilvl w:val="0"/>
          <w:numId w:val="1"/>
        </w:numPr>
        <w:contextualSpacing/>
        <w:jc w:val="both"/>
        <w:rPr>
          <w:b/>
          <w:bCs/>
        </w:rPr>
      </w:pPr>
      <w:r w:rsidRPr="00684300">
        <w:rPr>
          <w:b/>
          <w:bCs/>
        </w:rPr>
        <w:t>Lõppsätted</w:t>
      </w:r>
      <w:r>
        <w:rPr>
          <w:b/>
          <w:bCs/>
        </w:rPr>
        <w:t xml:space="preserve"> ja lepingu lõppemine</w:t>
      </w:r>
    </w:p>
    <w:p w14:paraId="5EF34137" w14:textId="04BC2483" w:rsidR="00684300" w:rsidRDefault="00684300" w:rsidP="00684300">
      <w:pPr>
        <w:pStyle w:val="ListParagraph"/>
        <w:numPr>
          <w:ilvl w:val="1"/>
          <w:numId w:val="1"/>
        </w:numPr>
        <w:jc w:val="both"/>
      </w:pPr>
      <w:r w:rsidRPr="00684300">
        <w:t>Poolel on õigus leping ennetähtaegselt etteteatamistähtajata üles öelda juhul, kui teine pool vaatamata kirjalikule meeldetuletusele jätab olulise lepingulise kohustuse rohkem kui kaks (2) kuud täitmata või täidab oma lepingust tulenevaid kohustusi mittenõuetekohaselt.</w:t>
      </w:r>
    </w:p>
    <w:p w14:paraId="40D171FB" w14:textId="03871278" w:rsidR="00165ADC" w:rsidRDefault="00165ADC" w:rsidP="00684300">
      <w:pPr>
        <w:pStyle w:val="ListParagraph"/>
        <w:numPr>
          <w:ilvl w:val="1"/>
          <w:numId w:val="1"/>
        </w:numPr>
        <w:jc w:val="both"/>
      </w:pPr>
      <w:r w:rsidRPr="00165ADC">
        <w:t xml:space="preserve">Lepingu täitmise lõpetamine või mittenõuetekohane täitmine loetakse põhjendatuks, kui see on tingitud vääramatust jõust, see tähendab asjaolust, mille tekkimist, kestust või lõppemist pooled ei saanud mõjutada ja mõistlikkuse põhimõttest lähtudes ei saanud neilt oodata, et nad lepingu sõlmimise ajal selle asjaoluga arvestaksid või seda väldiksid või takistava asjaolu või selle tagajärje ületaksid.  </w:t>
      </w:r>
    </w:p>
    <w:p w14:paraId="0065178F" w14:textId="7EBE4840" w:rsidR="00165ADC" w:rsidRDefault="00165ADC" w:rsidP="00165ADC">
      <w:pPr>
        <w:pStyle w:val="ListParagraph"/>
        <w:numPr>
          <w:ilvl w:val="1"/>
          <w:numId w:val="1"/>
        </w:numPr>
        <w:jc w:val="both"/>
      </w:pPr>
      <w:r>
        <w:t>Pooled on kohustatud rakendama asjakohaseid meetmeid, et hoida ära teisele poolele kahju tekitamine ning tagada võimaluste piires lepingust tulenevate ja sellega seotud kohustuste täitmine.</w:t>
      </w:r>
    </w:p>
    <w:p w14:paraId="4145705D" w14:textId="021524DC" w:rsidR="00165ADC" w:rsidRDefault="00165ADC" w:rsidP="00165ADC">
      <w:pPr>
        <w:pStyle w:val="ListParagraph"/>
        <w:numPr>
          <w:ilvl w:val="1"/>
          <w:numId w:val="1"/>
        </w:numPr>
        <w:jc w:val="both"/>
      </w:pPr>
      <w:r>
        <w:t>Pool, kelle tegevus lepingujärgsete kohustuste täitmisel on takistatud vääramatu jõu asjaolude tõttu, on kohustatud sellest kohe, see tähendab viie kalendripäeva jooksul, kirjalikult või elektrooniliselt teatama teisele poolele, märkides vääramatu jõu laadi, tõenäolise kestuse ja arvatava mõju. Mitteteatamine või mitteõigeaegne teatamine võtab poolelt õiguse viidata lepingus sätestatud kohustuste rikkumise põhjendatusele.</w:t>
      </w:r>
    </w:p>
    <w:p w14:paraId="1FF46818" w14:textId="0033B6A3" w:rsidR="00165ADC" w:rsidRDefault="00165ADC" w:rsidP="00165ADC">
      <w:pPr>
        <w:pStyle w:val="ListParagraph"/>
        <w:numPr>
          <w:ilvl w:val="1"/>
          <w:numId w:val="1"/>
        </w:numPr>
        <w:jc w:val="both"/>
      </w:pPr>
      <w:r>
        <w:t>Vääramatu jõu esinemine peab olema tõendatud poole poolt, kes viitab vääramatu jõu esinemisele.</w:t>
      </w:r>
    </w:p>
    <w:p w14:paraId="6FDC3326" w14:textId="5AF22CDC" w:rsidR="00165ADC" w:rsidRDefault="00165ADC" w:rsidP="00165ADC">
      <w:pPr>
        <w:pStyle w:val="ListParagraph"/>
        <w:numPr>
          <w:ilvl w:val="1"/>
          <w:numId w:val="1"/>
        </w:numPr>
        <w:jc w:val="both"/>
      </w:pPr>
      <w:r>
        <w:t>Kui vääramatu jõu tõttu on poole lepingust tulenevate kohustuste täitmine takistatud enam kui 90 päeva järjest, võivad pooled lepingu lõpetada.</w:t>
      </w:r>
    </w:p>
    <w:p w14:paraId="223F6978" w14:textId="15FB2626" w:rsidR="00684300" w:rsidRDefault="00684300" w:rsidP="00684300">
      <w:pPr>
        <w:pStyle w:val="ListParagraph"/>
        <w:numPr>
          <w:ilvl w:val="1"/>
          <w:numId w:val="1"/>
        </w:numPr>
        <w:contextualSpacing/>
        <w:jc w:val="both"/>
      </w:pPr>
      <w:r>
        <w:t>Lepingu lahutamatuteks osadeks on lepingu lisad, pooltevahelised kirjalikud või elektroonilised teated lepingu lisade ja kontaktisikute muutmise kohta ning lepingu muudatused.</w:t>
      </w:r>
    </w:p>
    <w:p w14:paraId="75BDEC91" w14:textId="481B93AD" w:rsidR="00684300" w:rsidRDefault="00684300" w:rsidP="00684300">
      <w:pPr>
        <w:pStyle w:val="ListParagraph"/>
        <w:numPr>
          <w:ilvl w:val="1"/>
          <w:numId w:val="1"/>
        </w:numPr>
        <w:contextualSpacing/>
        <w:jc w:val="both"/>
      </w:pPr>
      <w:r>
        <w:t xml:space="preserve">Leping tekitab </w:t>
      </w:r>
      <w:proofErr w:type="spellStart"/>
      <w:r>
        <w:t>KUMile</w:t>
      </w:r>
      <w:proofErr w:type="spellEnd"/>
      <w:r>
        <w:t xml:space="preserve"> ja </w:t>
      </w:r>
      <w:proofErr w:type="spellStart"/>
      <w:r>
        <w:t>SMITile</w:t>
      </w:r>
      <w:proofErr w:type="spellEnd"/>
      <w:r>
        <w:t xml:space="preserve"> seaduslikud, kehtivad ja siduvad kohustused, et tagada lepingu tingimuste tähtaegne ja täielik täitmine. </w:t>
      </w:r>
    </w:p>
    <w:p w14:paraId="294D2B09" w14:textId="77777777" w:rsidR="00684300" w:rsidRDefault="00684300" w:rsidP="00684300">
      <w:pPr>
        <w:pStyle w:val="ListParagraph"/>
        <w:numPr>
          <w:ilvl w:val="1"/>
          <w:numId w:val="1"/>
        </w:numPr>
        <w:contextualSpacing/>
        <w:jc w:val="both"/>
      </w:pPr>
      <w:r>
        <w:t>Pooled lahendavad kõik lepinguga seotud omavahelised erimeelsused ja vaidlused heas usus eelkõige vastastikusel mõistmisel põhinevate ja poolte kohustusi ning avalikke huve arvestavate läbirääkimiste teel.</w:t>
      </w:r>
      <w:r w:rsidRPr="00684300">
        <w:t xml:space="preserve"> </w:t>
      </w:r>
      <w:r>
        <w:t>Kokkuleppe mittesaavutamisel lahendatakse vaidlused Vabariigi Valitsuse seaduse § 101 lõigete 1 ja 3 alusel.</w:t>
      </w:r>
    </w:p>
    <w:p w14:paraId="48FBE7CC" w14:textId="77777777" w:rsidR="00FB3350" w:rsidRDefault="00FB3350" w:rsidP="00ED5C54">
      <w:pPr>
        <w:tabs>
          <w:tab w:val="left" w:pos="426"/>
        </w:tabs>
        <w:contextualSpacing/>
        <w:jc w:val="both"/>
      </w:pPr>
    </w:p>
    <w:p w14:paraId="02F86052" w14:textId="77777777" w:rsidR="00FB3350" w:rsidRPr="00420D09" w:rsidRDefault="00FB3350" w:rsidP="00420D09">
      <w:pPr>
        <w:autoSpaceDE w:val="0"/>
        <w:autoSpaceDN w:val="0"/>
        <w:adjustRightInd w:val="0"/>
        <w:contextualSpacing/>
        <w:jc w:val="both"/>
        <w:rPr>
          <w:b/>
          <w:bCs/>
        </w:rPr>
      </w:pPr>
      <w:r w:rsidRPr="00420D09">
        <w:rPr>
          <w:b/>
        </w:rPr>
        <w:t xml:space="preserve">Poolte </w:t>
      </w:r>
      <w:r w:rsidRPr="00420D09">
        <w:rPr>
          <w:b/>
          <w:iCs/>
        </w:rPr>
        <w:t>allkirjad ja rekvisiidid</w:t>
      </w:r>
    </w:p>
    <w:p w14:paraId="0D93C9C9" w14:textId="77777777" w:rsidR="00FB3350" w:rsidRPr="00334951" w:rsidRDefault="00FB3350" w:rsidP="00ED5C54">
      <w:pPr>
        <w:pStyle w:val="ListParagraph"/>
        <w:autoSpaceDE w:val="0"/>
        <w:autoSpaceDN w:val="0"/>
        <w:adjustRightInd w:val="0"/>
        <w:ind w:left="360"/>
        <w:jc w:val="both"/>
        <w:rPr>
          <w:b/>
          <w:bCs/>
        </w:rPr>
      </w:pPr>
    </w:p>
    <w:p w14:paraId="79B0ED00" w14:textId="5A49E0D7" w:rsidR="00FB3350" w:rsidRDefault="00301E8A" w:rsidP="00ED5C54">
      <w:r>
        <w:t>Tellija</w:t>
      </w:r>
      <w:r w:rsidR="00881808">
        <w:tab/>
      </w:r>
      <w:r w:rsidR="00881808">
        <w:tab/>
      </w:r>
      <w:r w:rsidR="00881808">
        <w:tab/>
      </w:r>
      <w:r w:rsidR="00881808">
        <w:tab/>
      </w:r>
      <w:r w:rsidR="00881808">
        <w:tab/>
      </w:r>
      <w:r w:rsidR="00881808">
        <w:tab/>
      </w:r>
      <w:r>
        <w:tab/>
        <w:t>Töövõtja</w:t>
      </w:r>
    </w:p>
    <w:p w14:paraId="2EB5EE05" w14:textId="77777777" w:rsidR="00FD793B" w:rsidRPr="00334951" w:rsidRDefault="00FD793B" w:rsidP="00ED5C54"/>
    <w:p w14:paraId="138106B3" w14:textId="68EB57F4" w:rsidR="00FB3350" w:rsidRDefault="00FB3350" w:rsidP="00ED5C54">
      <w:pPr>
        <w:ind w:right="-426"/>
        <w:rPr>
          <w:i/>
          <w:color w:val="808080"/>
        </w:rPr>
      </w:pPr>
      <w:r w:rsidRPr="00334951">
        <w:rPr>
          <w:i/>
          <w:color w:val="808080"/>
        </w:rPr>
        <w:t xml:space="preserve">/allkirjastatud digitaalselt/   </w:t>
      </w:r>
      <w:r w:rsidR="00881808">
        <w:rPr>
          <w:i/>
          <w:color w:val="808080"/>
        </w:rPr>
        <w:tab/>
      </w:r>
      <w:r w:rsidR="00881808">
        <w:rPr>
          <w:i/>
          <w:color w:val="808080"/>
        </w:rPr>
        <w:tab/>
      </w:r>
      <w:r w:rsidR="00881808">
        <w:rPr>
          <w:i/>
          <w:color w:val="808080"/>
        </w:rPr>
        <w:tab/>
      </w:r>
      <w:r w:rsidR="00881808">
        <w:rPr>
          <w:i/>
          <w:color w:val="808080"/>
        </w:rPr>
        <w:tab/>
      </w:r>
      <w:r w:rsidRPr="00334951">
        <w:rPr>
          <w:i/>
          <w:color w:val="808080"/>
        </w:rPr>
        <w:t xml:space="preserve">/allkirjastatud digitaalselt/ </w:t>
      </w:r>
    </w:p>
    <w:p w14:paraId="1478EF97" w14:textId="77777777" w:rsidR="00FD793B" w:rsidRPr="00334951" w:rsidRDefault="00FD793B" w:rsidP="00ED5C54">
      <w:pPr>
        <w:ind w:right="-426"/>
        <w:rPr>
          <w:i/>
          <w:color w:val="808080"/>
        </w:rPr>
      </w:pPr>
    </w:p>
    <w:p w14:paraId="57EAB181" w14:textId="05113728" w:rsidR="00FB3350" w:rsidRDefault="00881808" w:rsidP="00ED5C54">
      <w:pPr>
        <w:ind w:right="-426"/>
      </w:pPr>
      <w:r>
        <w:tab/>
      </w:r>
    </w:p>
    <w:p w14:paraId="61A88FB5" w14:textId="77777777" w:rsidR="009B696A" w:rsidRDefault="009B696A" w:rsidP="00ED5C54">
      <w:pPr>
        <w:widowControl w:val="0"/>
        <w:autoSpaceDE w:val="0"/>
        <w:autoSpaceDN w:val="0"/>
        <w:adjustRightInd w:val="0"/>
        <w:ind w:right="-432"/>
        <w:rPr>
          <w:kern w:val="2"/>
        </w:rPr>
      </w:pPr>
    </w:p>
    <w:p w14:paraId="7E8C290D" w14:textId="77777777" w:rsidR="00FD793B" w:rsidRDefault="00FD793B" w:rsidP="00ED5C54">
      <w:pPr>
        <w:widowControl w:val="0"/>
        <w:autoSpaceDE w:val="0"/>
        <w:autoSpaceDN w:val="0"/>
        <w:adjustRightInd w:val="0"/>
        <w:ind w:right="-432"/>
        <w:rPr>
          <w:kern w:val="2"/>
        </w:rPr>
        <w:sectPr w:rsidR="00FD793B">
          <w:pgSz w:w="11906" w:h="16838"/>
          <w:pgMar w:top="1417" w:right="1417" w:bottom="1417" w:left="1417" w:header="708" w:footer="708" w:gutter="0"/>
          <w:cols w:space="708"/>
          <w:docGrid w:linePitch="360"/>
        </w:sectPr>
      </w:pPr>
    </w:p>
    <w:p w14:paraId="1A9DF789" w14:textId="18985E25" w:rsidR="00FB3350" w:rsidRPr="00A710BD" w:rsidRDefault="003775C5" w:rsidP="00ED5C54">
      <w:pPr>
        <w:widowControl w:val="0"/>
        <w:autoSpaceDE w:val="0"/>
        <w:autoSpaceDN w:val="0"/>
        <w:adjustRightInd w:val="0"/>
        <w:ind w:right="-432"/>
      </w:pPr>
      <w:r>
        <w:rPr>
          <w:kern w:val="2"/>
        </w:rPr>
        <w:t>Kultuuriministeerium</w:t>
      </w:r>
      <w:r w:rsidR="00FB3350" w:rsidRPr="00334951">
        <w:rPr>
          <w:kern w:val="2"/>
        </w:rPr>
        <w:t xml:space="preserve">                                             </w:t>
      </w:r>
    </w:p>
    <w:p w14:paraId="392E0202" w14:textId="0B0B8955" w:rsidR="00FB3350" w:rsidRPr="00334951" w:rsidRDefault="003775C5" w:rsidP="00ED5C54">
      <w:pPr>
        <w:widowControl w:val="0"/>
        <w:autoSpaceDE w:val="0"/>
        <w:autoSpaceDN w:val="0"/>
        <w:adjustRightInd w:val="0"/>
        <w:ind w:right="-432"/>
        <w:rPr>
          <w:kern w:val="2"/>
        </w:rPr>
      </w:pPr>
      <w:r>
        <w:rPr>
          <w:kern w:val="2"/>
        </w:rPr>
        <w:t>Suur-Karja 23</w:t>
      </w:r>
      <w:r w:rsidR="00FB3350">
        <w:rPr>
          <w:kern w:val="2"/>
        </w:rPr>
        <w:t xml:space="preserve">, Tallinn 15065 </w:t>
      </w:r>
      <w:r w:rsidR="00FB3350">
        <w:rPr>
          <w:kern w:val="2"/>
        </w:rPr>
        <w:tab/>
      </w:r>
      <w:r w:rsidR="00FB3350" w:rsidRPr="00334951">
        <w:rPr>
          <w:kern w:val="2"/>
        </w:rPr>
        <w:tab/>
      </w:r>
    </w:p>
    <w:p w14:paraId="350FEC41" w14:textId="77777777" w:rsidR="00FB3350" w:rsidRPr="00334951" w:rsidRDefault="00FB3350" w:rsidP="00ED5C54">
      <w:pPr>
        <w:widowControl w:val="0"/>
        <w:autoSpaceDE w:val="0"/>
        <w:autoSpaceDN w:val="0"/>
        <w:adjustRightInd w:val="0"/>
        <w:ind w:right="-432"/>
        <w:rPr>
          <w:kern w:val="2"/>
        </w:rPr>
      </w:pPr>
      <w:r w:rsidRPr="00334951">
        <w:rPr>
          <w:kern w:val="2"/>
        </w:rPr>
        <w:t>Telefon 612</w:t>
      </w:r>
      <w:r>
        <w:rPr>
          <w:kern w:val="2"/>
        </w:rPr>
        <w:t xml:space="preserve"> 5008</w:t>
      </w:r>
      <w:r>
        <w:rPr>
          <w:kern w:val="2"/>
        </w:rPr>
        <w:tab/>
      </w:r>
      <w:r>
        <w:rPr>
          <w:kern w:val="2"/>
        </w:rPr>
        <w:tab/>
      </w:r>
      <w:r>
        <w:rPr>
          <w:kern w:val="2"/>
        </w:rPr>
        <w:tab/>
      </w:r>
      <w:r>
        <w:rPr>
          <w:kern w:val="2"/>
        </w:rPr>
        <w:tab/>
      </w:r>
    </w:p>
    <w:p w14:paraId="3EE7582C" w14:textId="57A1E4E7" w:rsidR="00FB3350" w:rsidRPr="00334951" w:rsidRDefault="00FB3350" w:rsidP="00ED5C54">
      <w:pPr>
        <w:widowControl w:val="0"/>
        <w:autoSpaceDE w:val="0"/>
        <w:autoSpaceDN w:val="0"/>
        <w:adjustRightInd w:val="0"/>
        <w:ind w:right="-432"/>
        <w:rPr>
          <w:kern w:val="2"/>
        </w:rPr>
      </w:pPr>
      <w:r w:rsidRPr="00334951">
        <w:rPr>
          <w:kern w:val="2"/>
        </w:rPr>
        <w:t>E-po</w:t>
      </w:r>
      <w:r>
        <w:rPr>
          <w:kern w:val="2"/>
        </w:rPr>
        <w:t>st:</w:t>
      </w:r>
      <w:r>
        <w:rPr>
          <w:kern w:val="2"/>
        </w:rPr>
        <w:tab/>
        <w:t xml:space="preserve"> info@</w:t>
      </w:r>
      <w:r w:rsidR="003775C5">
        <w:rPr>
          <w:kern w:val="2"/>
        </w:rPr>
        <w:t>kul</w:t>
      </w:r>
      <w:r>
        <w:rPr>
          <w:kern w:val="2"/>
        </w:rPr>
        <w:t>.ee</w:t>
      </w:r>
      <w:r>
        <w:rPr>
          <w:kern w:val="2"/>
        </w:rPr>
        <w:tab/>
      </w:r>
      <w:r>
        <w:rPr>
          <w:kern w:val="2"/>
        </w:rPr>
        <w:tab/>
      </w:r>
    </w:p>
    <w:p w14:paraId="4C2E72AA" w14:textId="77777777" w:rsidR="00FB3350" w:rsidRPr="00334951" w:rsidRDefault="00FB3350" w:rsidP="00ED5C54">
      <w:pPr>
        <w:widowControl w:val="0"/>
        <w:autoSpaceDE w:val="0"/>
        <w:autoSpaceDN w:val="0"/>
        <w:adjustRightInd w:val="0"/>
        <w:ind w:right="-432"/>
        <w:rPr>
          <w:kern w:val="2"/>
        </w:rPr>
      </w:pPr>
      <w:r w:rsidRPr="00334951">
        <w:rPr>
          <w:kern w:val="2"/>
        </w:rPr>
        <w:t>a/a</w:t>
      </w:r>
      <w:r>
        <w:rPr>
          <w:kern w:val="2"/>
        </w:rPr>
        <w:t>:</w:t>
      </w:r>
      <w:r w:rsidRPr="00334951">
        <w:rPr>
          <w:kern w:val="2"/>
        </w:rPr>
        <w:t xml:space="preserve"> </w:t>
      </w:r>
      <w:r w:rsidRPr="00875335">
        <w:t>EE891010220034796011</w:t>
      </w:r>
      <w:r w:rsidRPr="00875335">
        <w:rPr>
          <w:kern w:val="2"/>
        </w:rPr>
        <w:t xml:space="preserve">   </w:t>
      </w:r>
      <w:r>
        <w:rPr>
          <w:kern w:val="2"/>
        </w:rPr>
        <w:t xml:space="preserve">           </w:t>
      </w:r>
      <w:r>
        <w:rPr>
          <w:kern w:val="2"/>
        </w:rPr>
        <w:tab/>
      </w:r>
    </w:p>
    <w:p w14:paraId="2CF1C611" w14:textId="77777777" w:rsidR="00FB3350" w:rsidRDefault="00FB3350" w:rsidP="00ED5C54">
      <w:pPr>
        <w:widowControl w:val="0"/>
        <w:tabs>
          <w:tab w:val="left" w:pos="1080"/>
        </w:tabs>
        <w:autoSpaceDE w:val="0"/>
        <w:autoSpaceDN w:val="0"/>
        <w:adjustRightInd w:val="0"/>
        <w:ind w:right="-474"/>
        <w:jc w:val="both"/>
        <w:rPr>
          <w:kern w:val="2"/>
        </w:rPr>
      </w:pPr>
      <w:r w:rsidRPr="00334951">
        <w:rPr>
          <w:kern w:val="2"/>
        </w:rPr>
        <w:t xml:space="preserve">Viitenumber:  </w:t>
      </w:r>
      <w:r w:rsidRPr="00875335">
        <w:t>2800045849</w:t>
      </w:r>
      <w:r w:rsidRPr="00334951">
        <w:rPr>
          <w:kern w:val="2"/>
        </w:rPr>
        <w:tab/>
      </w:r>
    </w:p>
    <w:p w14:paraId="524839A4" w14:textId="77777777" w:rsidR="00FB3350" w:rsidRDefault="00FB3350" w:rsidP="00ED5C54">
      <w:pPr>
        <w:widowControl w:val="0"/>
        <w:tabs>
          <w:tab w:val="left" w:pos="1080"/>
        </w:tabs>
        <w:autoSpaceDE w:val="0"/>
        <w:autoSpaceDN w:val="0"/>
        <w:adjustRightInd w:val="0"/>
        <w:ind w:right="-474"/>
        <w:jc w:val="both"/>
        <w:rPr>
          <w:kern w:val="2"/>
        </w:rPr>
      </w:pPr>
      <w:r w:rsidRPr="00334951">
        <w:rPr>
          <w:kern w:val="2"/>
        </w:rPr>
        <w:t>Saaja: Rahandusministeerium</w:t>
      </w:r>
    </w:p>
    <w:p w14:paraId="37D81CA6" w14:textId="77777777" w:rsidR="00FB3350" w:rsidRDefault="00FB3350" w:rsidP="00ED5C54">
      <w:pPr>
        <w:ind w:right="-426"/>
        <w:rPr>
          <w:i/>
        </w:rPr>
      </w:pPr>
    </w:p>
    <w:p w14:paraId="78CFDE7F" w14:textId="77777777" w:rsidR="009B696A" w:rsidRDefault="009B696A" w:rsidP="00ED5C54">
      <w:pPr>
        <w:widowControl w:val="0"/>
        <w:tabs>
          <w:tab w:val="left" w:pos="1080"/>
        </w:tabs>
        <w:autoSpaceDE w:val="0"/>
        <w:autoSpaceDN w:val="0"/>
        <w:adjustRightInd w:val="0"/>
        <w:ind w:right="-340"/>
      </w:pPr>
      <w:r>
        <w:t>Siseministeeriumi infotehnoloogia- ja arenduskeskus</w:t>
      </w:r>
    </w:p>
    <w:p w14:paraId="5997B84E" w14:textId="77777777" w:rsidR="009B696A" w:rsidRDefault="009B696A" w:rsidP="00ED5C54">
      <w:pPr>
        <w:widowControl w:val="0"/>
        <w:tabs>
          <w:tab w:val="left" w:pos="1080"/>
        </w:tabs>
        <w:autoSpaceDE w:val="0"/>
        <w:autoSpaceDN w:val="0"/>
        <w:adjustRightInd w:val="0"/>
        <w:ind w:right="-340"/>
        <w:jc w:val="both"/>
      </w:pPr>
      <w:r>
        <w:t>Mäealuse 2/2, Tallinn 12618</w:t>
      </w:r>
    </w:p>
    <w:p w14:paraId="2C866014" w14:textId="77777777" w:rsidR="009B696A" w:rsidRDefault="009B696A" w:rsidP="00ED5C54">
      <w:pPr>
        <w:widowControl w:val="0"/>
        <w:tabs>
          <w:tab w:val="left" w:pos="1080"/>
        </w:tabs>
        <w:autoSpaceDE w:val="0"/>
        <w:autoSpaceDN w:val="0"/>
        <w:adjustRightInd w:val="0"/>
        <w:ind w:right="-340"/>
        <w:jc w:val="both"/>
        <w:rPr>
          <w:kern w:val="2"/>
        </w:rPr>
      </w:pPr>
      <w:r w:rsidRPr="00334951">
        <w:rPr>
          <w:kern w:val="2"/>
        </w:rPr>
        <w:t>Telefon</w:t>
      </w:r>
      <w:r>
        <w:rPr>
          <w:kern w:val="2"/>
        </w:rPr>
        <w:t>:</w:t>
      </w:r>
      <w:r w:rsidRPr="00334951">
        <w:rPr>
          <w:kern w:val="2"/>
        </w:rPr>
        <w:t xml:space="preserve"> </w:t>
      </w:r>
      <w:r>
        <w:rPr>
          <w:kern w:val="2"/>
        </w:rPr>
        <w:t>612 6200</w:t>
      </w:r>
    </w:p>
    <w:p w14:paraId="3A20ADA4" w14:textId="77777777" w:rsidR="009B696A" w:rsidRDefault="009B696A" w:rsidP="00ED5C54">
      <w:pPr>
        <w:widowControl w:val="0"/>
        <w:tabs>
          <w:tab w:val="left" w:pos="1080"/>
        </w:tabs>
        <w:autoSpaceDE w:val="0"/>
        <w:autoSpaceDN w:val="0"/>
        <w:adjustRightInd w:val="0"/>
        <w:ind w:right="-340"/>
        <w:jc w:val="both"/>
        <w:rPr>
          <w:kern w:val="2"/>
        </w:rPr>
      </w:pPr>
      <w:r w:rsidRPr="00334951">
        <w:rPr>
          <w:kern w:val="2"/>
        </w:rPr>
        <w:t xml:space="preserve">E-post: </w:t>
      </w:r>
      <w:r w:rsidRPr="00A710BD">
        <w:rPr>
          <w:kern w:val="2"/>
        </w:rPr>
        <w:t>smit@smit.ee</w:t>
      </w:r>
    </w:p>
    <w:p w14:paraId="12B24645" w14:textId="77777777" w:rsidR="009B696A" w:rsidRPr="00DA3388" w:rsidRDefault="009B696A" w:rsidP="00ED5C54">
      <w:pPr>
        <w:widowControl w:val="0"/>
        <w:tabs>
          <w:tab w:val="left" w:pos="1080"/>
        </w:tabs>
        <w:autoSpaceDE w:val="0"/>
        <w:autoSpaceDN w:val="0"/>
        <w:adjustRightInd w:val="0"/>
        <w:ind w:right="-340"/>
        <w:jc w:val="both"/>
      </w:pPr>
      <w:r w:rsidRPr="00DA3388">
        <w:t>a/a: EE891010220034796011</w:t>
      </w:r>
    </w:p>
    <w:p w14:paraId="5C3E88CD" w14:textId="77777777" w:rsidR="009B696A" w:rsidRPr="00DA3388" w:rsidRDefault="009B696A" w:rsidP="00ED5C54">
      <w:pPr>
        <w:widowControl w:val="0"/>
        <w:tabs>
          <w:tab w:val="left" w:pos="1080"/>
        </w:tabs>
        <w:autoSpaceDE w:val="0"/>
        <w:autoSpaceDN w:val="0"/>
        <w:adjustRightInd w:val="0"/>
        <w:ind w:right="-340"/>
        <w:jc w:val="both"/>
        <w:rPr>
          <w:kern w:val="2"/>
        </w:rPr>
      </w:pPr>
      <w:r w:rsidRPr="00DA3388">
        <w:t>Viitenumber: 2800045849</w:t>
      </w:r>
      <w:r w:rsidRPr="00DA3388">
        <w:rPr>
          <w:kern w:val="2"/>
        </w:rPr>
        <w:t xml:space="preserve"> </w:t>
      </w:r>
    </w:p>
    <w:p w14:paraId="16C53740" w14:textId="00E39A3A" w:rsidR="0090153F" w:rsidRPr="00FB3350" w:rsidRDefault="009B696A" w:rsidP="00D36FB9">
      <w:pPr>
        <w:tabs>
          <w:tab w:val="left" w:pos="426"/>
        </w:tabs>
        <w:spacing w:line="276" w:lineRule="auto"/>
        <w:contextualSpacing/>
        <w:jc w:val="both"/>
      </w:pPr>
      <w:r w:rsidRPr="00334951">
        <w:rPr>
          <w:kern w:val="2"/>
        </w:rPr>
        <w:t xml:space="preserve">Saaja: </w:t>
      </w:r>
      <w:r>
        <w:rPr>
          <w:kern w:val="2"/>
        </w:rPr>
        <w:t>Rahandusministeerium</w:t>
      </w:r>
    </w:p>
    <w:sectPr w:rsidR="0090153F" w:rsidRPr="00FB3350" w:rsidSect="009B696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FE2D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F06"/>
    <w:multiLevelType w:val="hybridMultilevel"/>
    <w:tmpl w:val="A8D69D0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6E4C7F"/>
    <w:multiLevelType w:val="hybridMultilevel"/>
    <w:tmpl w:val="2EA0FC7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AD54C9"/>
    <w:multiLevelType w:val="multilevel"/>
    <w:tmpl w:val="BEC4DAEC"/>
    <w:lvl w:ilvl="0">
      <w:start w:val="2"/>
      <w:numFmt w:val="decimal"/>
      <w:lvlText w:val="%1"/>
      <w:lvlJc w:val="left"/>
      <w:pPr>
        <w:ind w:left="480" w:hanging="480"/>
      </w:pPr>
      <w:rPr>
        <w:rFonts w:hint="default"/>
      </w:rPr>
    </w:lvl>
    <w:lvl w:ilvl="1">
      <w:start w:val="2"/>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 w15:restartNumberingAfterBreak="0">
    <w:nsid w:val="0EF752CB"/>
    <w:multiLevelType w:val="hybridMultilevel"/>
    <w:tmpl w:val="A1B061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7F7E68"/>
    <w:multiLevelType w:val="multilevel"/>
    <w:tmpl w:val="857EB6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F199D"/>
    <w:multiLevelType w:val="multilevel"/>
    <w:tmpl w:val="C0ECD000"/>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b w:val="0"/>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A2D88CD"/>
    <w:multiLevelType w:val="hybridMultilevel"/>
    <w:tmpl w:val="D20418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911705"/>
    <w:multiLevelType w:val="multilevel"/>
    <w:tmpl w:val="BEC4DAEC"/>
    <w:lvl w:ilvl="0">
      <w:start w:val="2"/>
      <w:numFmt w:val="decimal"/>
      <w:lvlText w:val="%1"/>
      <w:lvlJc w:val="left"/>
      <w:pPr>
        <w:ind w:left="480" w:hanging="480"/>
      </w:pPr>
      <w:rPr>
        <w:rFonts w:hint="default"/>
      </w:rPr>
    </w:lvl>
    <w:lvl w:ilvl="1">
      <w:start w:val="2"/>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24F63B5C"/>
    <w:multiLevelType w:val="hybridMultilevel"/>
    <w:tmpl w:val="A1B406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25254101"/>
    <w:multiLevelType w:val="multilevel"/>
    <w:tmpl w:val="857EB6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BA3CC5"/>
    <w:multiLevelType w:val="multilevel"/>
    <w:tmpl w:val="F56819A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13"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93D3AA4"/>
    <w:multiLevelType w:val="multilevel"/>
    <w:tmpl w:val="C0ECD000"/>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b w:val="0"/>
      </w:rPr>
    </w:lvl>
    <w:lvl w:ilvl="2">
      <w:start w:val="1"/>
      <w:numFmt w:val="decimal"/>
      <w:lvlText w:val="%1.%2.%3."/>
      <w:lvlJc w:val="left"/>
      <w:pPr>
        <w:ind w:left="929"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2F17A3B"/>
    <w:multiLevelType w:val="multilevel"/>
    <w:tmpl w:val="C0ECD000"/>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b w:val="0"/>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5082D8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A1DDE"/>
    <w:multiLevelType w:val="multilevel"/>
    <w:tmpl w:val="945632C0"/>
    <w:lvl w:ilvl="0">
      <w:start w:val="1"/>
      <w:numFmt w:val="decimal"/>
      <w:lvlText w:val="%1"/>
      <w:lvlJc w:val="left"/>
      <w:pPr>
        <w:ind w:left="360" w:hanging="360"/>
      </w:pPr>
      <w:rPr>
        <w:rFonts w:eastAsiaTheme="minorHAnsi" w:hint="default"/>
        <w:sz w:val="23"/>
      </w:rPr>
    </w:lvl>
    <w:lvl w:ilvl="1">
      <w:start w:val="3"/>
      <w:numFmt w:val="decimal"/>
      <w:lvlText w:val="%1.%2"/>
      <w:lvlJc w:val="left"/>
      <w:pPr>
        <w:ind w:left="360" w:hanging="360"/>
      </w:pPr>
      <w:rPr>
        <w:rFonts w:eastAsiaTheme="minorHAnsi" w:hint="default"/>
        <w:sz w:val="23"/>
      </w:rPr>
    </w:lvl>
    <w:lvl w:ilvl="2">
      <w:start w:val="1"/>
      <w:numFmt w:val="decimal"/>
      <w:lvlText w:val="%1.%2.%3"/>
      <w:lvlJc w:val="left"/>
      <w:pPr>
        <w:ind w:left="720" w:hanging="720"/>
      </w:pPr>
      <w:rPr>
        <w:rFonts w:eastAsiaTheme="minorHAnsi" w:hint="default"/>
        <w:sz w:val="23"/>
      </w:rPr>
    </w:lvl>
    <w:lvl w:ilvl="3">
      <w:start w:val="1"/>
      <w:numFmt w:val="decimal"/>
      <w:lvlText w:val="%1.%2.%3.%4"/>
      <w:lvlJc w:val="left"/>
      <w:pPr>
        <w:ind w:left="720" w:hanging="720"/>
      </w:pPr>
      <w:rPr>
        <w:rFonts w:eastAsiaTheme="minorHAnsi" w:hint="default"/>
        <w:sz w:val="23"/>
      </w:rPr>
    </w:lvl>
    <w:lvl w:ilvl="4">
      <w:start w:val="1"/>
      <w:numFmt w:val="decimal"/>
      <w:lvlText w:val="%1.%2.%3.%4.%5"/>
      <w:lvlJc w:val="left"/>
      <w:pPr>
        <w:ind w:left="1080" w:hanging="1080"/>
      </w:pPr>
      <w:rPr>
        <w:rFonts w:eastAsiaTheme="minorHAnsi" w:hint="default"/>
        <w:sz w:val="23"/>
      </w:rPr>
    </w:lvl>
    <w:lvl w:ilvl="5">
      <w:start w:val="1"/>
      <w:numFmt w:val="decimal"/>
      <w:lvlText w:val="%1.%2.%3.%4.%5.%6"/>
      <w:lvlJc w:val="left"/>
      <w:pPr>
        <w:ind w:left="1080" w:hanging="1080"/>
      </w:pPr>
      <w:rPr>
        <w:rFonts w:eastAsiaTheme="minorHAnsi" w:hint="default"/>
        <w:sz w:val="23"/>
      </w:rPr>
    </w:lvl>
    <w:lvl w:ilvl="6">
      <w:start w:val="1"/>
      <w:numFmt w:val="decimal"/>
      <w:lvlText w:val="%1.%2.%3.%4.%5.%6.%7"/>
      <w:lvlJc w:val="left"/>
      <w:pPr>
        <w:ind w:left="1440" w:hanging="1440"/>
      </w:pPr>
      <w:rPr>
        <w:rFonts w:eastAsiaTheme="minorHAnsi" w:hint="default"/>
        <w:sz w:val="23"/>
      </w:rPr>
    </w:lvl>
    <w:lvl w:ilvl="7">
      <w:start w:val="1"/>
      <w:numFmt w:val="decimal"/>
      <w:lvlText w:val="%1.%2.%3.%4.%5.%6.%7.%8"/>
      <w:lvlJc w:val="left"/>
      <w:pPr>
        <w:ind w:left="1440" w:hanging="1440"/>
      </w:pPr>
      <w:rPr>
        <w:rFonts w:eastAsiaTheme="minorHAnsi" w:hint="default"/>
        <w:sz w:val="23"/>
      </w:rPr>
    </w:lvl>
    <w:lvl w:ilvl="8">
      <w:start w:val="1"/>
      <w:numFmt w:val="decimal"/>
      <w:lvlText w:val="%1.%2.%3.%4.%5.%6.%7.%8.%9"/>
      <w:lvlJc w:val="left"/>
      <w:pPr>
        <w:ind w:left="1800" w:hanging="1800"/>
      </w:pPr>
      <w:rPr>
        <w:rFonts w:eastAsiaTheme="minorHAnsi" w:hint="default"/>
        <w:sz w:val="23"/>
      </w:rPr>
    </w:lvl>
  </w:abstractNum>
  <w:abstractNum w:abstractNumId="16" w15:restartNumberingAfterBreak="0">
    <w:nsid w:val="39D84546"/>
    <w:multiLevelType w:val="hybridMultilevel"/>
    <w:tmpl w:val="721635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B17291E"/>
    <w:multiLevelType w:val="multilevel"/>
    <w:tmpl w:val="4CACE340"/>
    <w:lvl w:ilvl="0">
      <w:start w:val="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DA1C60"/>
    <w:multiLevelType w:val="multilevel"/>
    <w:tmpl w:val="945632C0"/>
    <w:lvl w:ilvl="0">
      <w:start w:val="1"/>
      <w:numFmt w:val="decimal"/>
      <w:lvlText w:val="%1"/>
      <w:lvlJc w:val="left"/>
      <w:pPr>
        <w:ind w:left="360" w:hanging="360"/>
      </w:pPr>
      <w:rPr>
        <w:rFonts w:eastAsiaTheme="minorHAnsi" w:hint="default"/>
        <w:sz w:val="23"/>
      </w:rPr>
    </w:lvl>
    <w:lvl w:ilvl="1">
      <w:start w:val="3"/>
      <w:numFmt w:val="decimal"/>
      <w:lvlText w:val="%1.%2"/>
      <w:lvlJc w:val="left"/>
      <w:pPr>
        <w:ind w:left="360" w:hanging="360"/>
      </w:pPr>
      <w:rPr>
        <w:rFonts w:eastAsiaTheme="minorHAnsi" w:hint="default"/>
        <w:sz w:val="23"/>
      </w:rPr>
    </w:lvl>
    <w:lvl w:ilvl="2">
      <w:start w:val="1"/>
      <w:numFmt w:val="decimal"/>
      <w:lvlText w:val="%1.%2.%3"/>
      <w:lvlJc w:val="left"/>
      <w:pPr>
        <w:ind w:left="720" w:hanging="720"/>
      </w:pPr>
      <w:rPr>
        <w:rFonts w:eastAsiaTheme="minorHAnsi" w:hint="default"/>
        <w:sz w:val="23"/>
      </w:rPr>
    </w:lvl>
    <w:lvl w:ilvl="3">
      <w:start w:val="1"/>
      <w:numFmt w:val="decimal"/>
      <w:lvlText w:val="%1.%2.%3.%4"/>
      <w:lvlJc w:val="left"/>
      <w:pPr>
        <w:ind w:left="720" w:hanging="720"/>
      </w:pPr>
      <w:rPr>
        <w:rFonts w:eastAsiaTheme="minorHAnsi" w:hint="default"/>
        <w:sz w:val="23"/>
      </w:rPr>
    </w:lvl>
    <w:lvl w:ilvl="4">
      <w:start w:val="1"/>
      <w:numFmt w:val="decimal"/>
      <w:lvlText w:val="%1.%2.%3.%4.%5"/>
      <w:lvlJc w:val="left"/>
      <w:pPr>
        <w:ind w:left="1080" w:hanging="1080"/>
      </w:pPr>
      <w:rPr>
        <w:rFonts w:eastAsiaTheme="minorHAnsi" w:hint="default"/>
        <w:sz w:val="23"/>
      </w:rPr>
    </w:lvl>
    <w:lvl w:ilvl="5">
      <w:start w:val="1"/>
      <w:numFmt w:val="decimal"/>
      <w:lvlText w:val="%1.%2.%3.%4.%5.%6"/>
      <w:lvlJc w:val="left"/>
      <w:pPr>
        <w:ind w:left="1080" w:hanging="1080"/>
      </w:pPr>
      <w:rPr>
        <w:rFonts w:eastAsiaTheme="minorHAnsi" w:hint="default"/>
        <w:sz w:val="23"/>
      </w:rPr>
    </w:lvl>
    <w:lvl w:ilvl="6">
      <w:start w:val="1"/>
      <w:numFmt w:val="decimal"/>
      <w:lvlText w:val="%1.%2.%3.%4.%5.%6.%7"/>
      <w:lvlJc w:val="left"/>
      <w:pPr>
        <w:ind w:left="1440" w:hanging="1440"/>
      </w:pPr>
      <w:rPr>
        <w:rFonts w:eastAsiaTheme="minorHAnsi" w:hint="default"/>
        <w:sz w:val="23"/>
      </w:rPr>
    </w:lvl>
    <w:lvl w:ilvl="7">
      <w:start w:val="1"/>
      <w:numFmt w:val="decimal"/>
      <w:lvlText w:val="%1.%2.%3.%4.%5.%6.%7.%8"/>
      <w:lvlJc w:val="left"/>
      <w:pPr>
        <w:ind w:left="1440" w:hanging="1440"/>
      </w:pPr>
      <w:rPr>
        <w:rFonts w:eastAsiaTheme="minorHAnsi" w:hint="default"/>
        <w:sz w:val="23"/>
      </w:rPr>
    </w:lvl>
    <w:lvl w:ilvl="8">
      <w:start w:val="1"/>
      <w:numFmt w:val="decimal"/>
      <w:lvlText w:val="%1.%2.%3.%4.%5.%6.%7.%8.%9"/>
      <w:lvlJc w:val="left"/>
      <w:pPr>
        <w:ind w:left="1800" w:hanging="1800"/>
      </w:pPr>
      <w:rPr>
        <w:rFonts w:eastAsiaTheme="minorHAnsi" w:hint="default"/>
        <w:sz w:val="23"/>
      </w:rPr>
    </w:lvl>
  </w:abstractNum>
  <w:abstractNum w:abstractNumId="19" w15:restartNumberingAfterBreak="0">
    <w:nsid w:val="3E9173E1"/>
    <w:multiLevelType w:val="hybridMultilevel"/>
    <w:tmpl w:val="8DEE7D50"/>
    <w:lvl w:ilvl="0" w:tplc="04250015">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6112DA3"/>
    <w:multiLevelType w:val="multilevel"/>
    <w:tmpl w:val="4D1CC3C4"/>
    <w:lvl w:ilvl="0">
      <w:start w:val="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1C37DB"/>
    <w:multiLevelType w:val="hybridMultilevel"/>
    <w:tmpl w:val="DE2CC5D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565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A44C91"/>
    <w:multiLevelType w:val="multilevel"/>
    <w:tmpl w:val="C0ECD000"/>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b w:val="0"/>
      </w:rPr>
    </w:lvl>
    <w:lvl w:ilvl="2">
      <w:start w:val="1"/>
      <w:numFmt w:val="decimal"/>
      <w:lvlText w:val="%1.%2.%3."/>
      <w:lvlJc w:val="left"/>
      <w:pPr>
        <w:ind w:left="929"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9305D2B"/>
    <w:multiLevelType w:val="hybridMultilevel"/>
    <w:tmpl w:val="29A636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36203AC"/>
    <w:multiLevelType w:val="multilevel"/>
    <w:tmpl w:val="857EB6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7742253"/>
    <w:multiLevelType w:val="multilevel"/>
    <w:tmpl w:val="C02ABF9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901C85"/>
    <w:multiLevelType w:val="multilevel"/>
    <w:tmpl w:val="C5FC08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1F6F06"/>
    <w:multiLevelType w:val="multilevel"/>
    <w:tmpl w:val="31526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9587137">
    <w:abstractNumId w:val="11"/>
  </w:num>
  <w:num w:numId="2" w16cid:durableId="1930965835">
    <w:abstractNumId w:val="13"/>
  </w:num>
  <w:num w:numId="3" w16cid:durableId="277295893">
    <w:abstractNumId w:val="16"/>
  </w:num>
  <w:num w:numId="4" w16cid:durableId="1225945809">
    <w:abstractNumId w:val="21"/>
  </w:num>
  <w:num w:numId="5" w16cid:durableId="1400982256">
    <w:abstractNumId w:val="6"/>
  </w:num>
  <w:num w:numId="6" w16cid:durableId="53555068">
    <w:abstractNumId w:val="1"/>
  </w:num>
  <w:num w:numId="7" w16cid:durableId="1268582525">
    <w:abstractNumId w:val="4"/>
  </w:num>
  <w:num w:numId="8" w16cid:durableId="1453086551">
    <w:abstractNumId w:val="2"/>
  </w:num>
  <w:num w:numId="9" w16cid:durableId="239869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575205">
    <w:abstractNumId w:val="22"/>
  </w:num>
  <w:num w:numId="11" w16cid:durableId="1002970089">
    <w:abstractNumId w:val="17"/>
  </w:num>
  <w:num w:numId="12" w16cid:durableId="818427242">
    <w:abstractNumId w:val="20"/>
  </w:num>
  <w:num w:numId="13" w16cid:durableId="1849368164">
    <w:abstractNumId w:val="23"/>
  </w:num>
  <w:num w:numId="14" w16cid:durableId="215168914">
    <w:abstractNumId w:val="7"/>
  </w:num>
  <w:num w:numId="15" w16cid:durableId="1471437218">
    <w:abstractNumId w:val="12"/>
  </w:num>
  <w:num w:numId="16" w16cid:durableId="1170408359">
    <w:abstractNumId w:val="14"/>
  </w:num>
  <w:num w:numId="17" w16cid:durableId="1653439886">
    <w:abstractNumId w:val="5"/>
  </w:num>
  <w:num w:numId="18" w16cid:durableId="333998546">
    <w:abstractNumId w:val="25"/>
  </w:num>
  <w:num w:numId="19" w16cid:durableId="1364940160">
    <w:abstractNumId w:val="10"/>
  </w:num>
  <w:num w:numId="20" w16cid:durableId="2028293694">
    <w:abstractNumId w:val="18"/>
  </w:num>
  <w:num w:numId="21" w16cid:durableId="2081170855">
    <w:abstractNumId w:val="15"/>
  </w:num>
  <w:num w:numId="22" w16cid:durableId="903636660">
    <w:abstractNumId w:val="8"/>
  </w:num>
  <w:num w:numId="23" w16cid:durableId="97215613">
    <w:abstractNumId w:val="3"/>
  </w:num>
  <w:num w:numId="24" w16cid:durableId="866408159">
    <w:abstractNumId w:val="28"/>
  </w:num>
  <w:num w:numId="25" w16cid:durableId="1432045588">
    <w:abstractNumId w:val="27"/>
  </w:num>
  <w:num w:numId="26" w16cid:durableId="1592661395">
    <w:abstractNumId w:val="0"/>
  </w:num>
  <w:num w:numId="27" w16cid:durableId="1648507381">
    <w:abstractNumId w:val="26"/>
  </w:num>
  <w:num w:numId="28" w16cid:durableId="1613853568">
    <w:abstractNumId w:val="24"/>
  </w:num>
  <w:num w:numId="29" w16cid:durableId="1922449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76"/>
    <w:rsid w:val="00000B75"/>
    <w:rsid w:val="00001639"/>
    <w:rsid w:val="00015BB3"/>
    <w:rsid w:val="000209DD"/>
    <w:rsid w:val="00034AFD"/>
    <w:rsid w:val="0005330E"/>
    <w:rsid w:val="000A130A"/>
    <w:rsid w:val="000B253F"/>
    <w:rsid w:val="000B6748"/>
    <w:rsid w:val="000B7069"/>
    <w:rsid w:val="000D73C0"/>
    <w:rsid w:val="000E0F28"/>
    <w:rsid w:val="000E2C4B"/>
    <w:rsid w:val="000E3E76"/>
    <w:rsid w:val="000E4F01"/>
    <w:rsid w:val="001079E4"/>
    <w:rsid w:val="00116C5F"/>
    <w:rsid w:val="001238E7"/>
    <w:rsid w:val="00142CDA"/>
    <w:rsid w:val="00145F56"/>
    <w:rsid w:val="00151269"/>
    <w:rsid w:val="001529D7"/>
    <w:rsid w:val="001629CC"/>
    <w:rsid w:val="00165ADC"/>
    <w:rsid w:val="00166278"/>
    <w:rsid w:val="001670BF"/>
    <w:rsid w:val="00176634"/>
    <w:rsid w:val="0017690F"/>
    <w:rsid w:val="0019120F"/>
    <w:rsid w:val="00194DA6"/>
    <w:rsid w:val="00196F84"/>
    <w:rsid w:val="001A0846"/>
    <w:rsid w:val="001A26B6"/>
    <w:rsid w:val="001B389D"/>
    <w:rsid w:val="001C0BAF"/>
    <w:rsid w:val="001C4262"/>
    <w:rsid w:val="001D0298"/>
    <w:rsid w:val="001D3D5B"/>
    <w:rsid w:val="001E389D"/>
    <w:rsid w:val="001E7F4F"/>
    <w:rsid w:val="002025DF"/>
    <w:rsid w:val="0020432C"/>
    <w:rsid w:val="00213B4A"/>
    <w:rsid w:val="002154E0"/>
    <w:rsid w:val="0024431C"/>
    <w:rsid w:val="002634CD"/>
    <w:rsid w:val="00287FB6"/>
    <w:rsid w:val="002A1531"/>
    <w:rsid w:val="002A2DE7"/>
    <w:rsid w:val="002B10E6"/>
    <w:rsid w:val="002B30EB"/>
    <w:rsid w:val="002B61B7"/>
    <w:rsid w:val="002E4FDE"/>
    <w:rsid w:val="002F3066"/>
    <w:rsid w:val="00301E8A"/>
    <w:rsid w:val="00312A81"/>
    <w:rsid w:val="003362E7"/>
    <w:rsid w:val="0036549E"/>
    <w:rsid w:val="003775C5"/>
    <w:rsid w:val="0038324C"/>
    <w:rsid w:val="003860B6"/>
    <w:rsid w:val="00387D91"/>
    <w:rsid w:val="003946E8"/>
    <w:rsid w:val="003A0AC9"/>
    <w:rsid w:val="003B245F"/>
    <w:rsid w:val="003E0231"/>
    <w:rsid w:val="003E1B22"/>
    <w:rsid w:val="003E482A"/>
    <w:rsid w:val="004031A5"/>
    <w:rsid w:val="00411B6E"/>
    <w:rsid w:val="00412EF2"/>
    <w:rsid w:val="00420D09"/>
    <w:rsid w:val="00421636"/>
    <w:rsid w:val="00421B6F"/>
    <w:rsid w:val="0043151A"/>
    <w:rsid w:val="00432B32"/>
    <w:rsid w:val="0043307F"/>
    <w:rsid w:val="0043592A"/>
    <w:rsid w:val="00442F49"/>
    <w:rsid w:val="00450354"/>
    <w:rsid w:val="004929E9"/>
    <w:rsid w:val="00493D10"/>
    <w:rsid w:val="004A10CE"/>
    <w:rsid w:val="004A37CC"/>
    <w:rsid w:val="004B0A35"/>
    <w:rsid w:val="004B1C4A"/>
    <w:rsid w:val="004B7C6B"/>
    <w:rsid w:val="004C4F10"/>
    <w:rsid w:val="004D0749"/>
    <w:rsid w:val="004E278F"/>
    <w:rsid w:val="004E6999"/>
    <w:rsid w:val="004F0C3C"/>
    <w:rsid w:val="00502273"/>
    <w:rsid w:val="005027C1"/>
    <w:rsid w:val="00512474"/>
    <w:rsid w:val="0053066F"/>
    <w:rsid w:val="00553261"/>
    <w:rsid w:val="00562573"/>
    <w:rsid w:val="0057038E"/>
    <w:rsid w:val="00586B05"/>
    <w:rsid w:val="005A3540"/>
    <w:rsid w:val="005A4021"/>
    <w:rsid w:val="005C0EEC"/>
    <w:rsid w:val="005C1206"/>
    <w:rsid w:val="005D1FA5"/>
    <w:rsid w:val="005D615A"/>
    <w:rsid w:val="005D7294"/>
    <w:rsid w:val="00613F69"/>
    <w:rsid w:val="0061573B"/>
    <w:rsid w:val="0062706E"/>
    <w:rsid w:val="0063276E"/>
    <w:rsid w:val="00635082"/>
    <w:rsid w:val="00646521"/>
    <w:rsid w:val="00655607"/>
    <w:rsid w:val="00684300"/>
    <w:rsid w:val="00690D6A"/>
    <w:rsid w:val="006A0160"/>
    <w:rsid w:val="006A7D67"/>
    <w:rsid w:val="006B233F"/>
    <w:rsid w:val="006B3150"/>
    <w:rsid w:val="006B3180"/>
    <w:rsid w:val="006C614E"/>
    <w:rsid w:val="006D00D6"/>
    <w:rsid w:val="00701936"/>
    <w:rsid w:val="00702AA5"/>
    <w:rsid w:val="00705E45"/>
    <w:rsid w:val="0071238A"/>
    <w:rsid w:val="00712B47"/>
    <w:rsid w:val="00717BC2"/>
    <w:rsid w:val="00720213"/>
    <w:rsid w:val="0072052F"/>
    <w:rsid w:val="0072155D"/>
    <w:rsid w:val="00722170"/>
    <w:rsid w:val="00724631"/>
    <w:rsid w:val="00724DEA"/>
    <w:rsid w:val="00727765"/>
    <w:rsid w:val="00750F43"/>
    <w:rsid w:val="00752B13"/>
    <w:rsid w:val="00776F9D"/>
    <w:rsid w:val="007902A4"/>
    <w:rsid w:val="007973F7"/>
    <w:rsid w:val="007A02B7"/>
    <w:rsid w:val="00804C3E"/>
    <w:rsid w:val="00804D89"/>
    <w:rsid w:val="008055E9"/>
    <w:rsid w:val="008115C2"/>
    <w:rsid w:val="008157FA"/>
    <w:rsid w:val="0083024D"/>
    <w:rsid w:val="0087491C"/>
    <w:rsid w:val="00881808"/>
    <w:rsid w:val="00881E3F"/>
    <w:rsid w:val="00891609"/>
    <w:rsid w:val="008948EB"/>
    <w:rsid w:val="00897731"/>
    <w:rsid w:val="008A5FED"/>
    <w:rsid w:val="008D5B8F"/>
    <w:rsid w:val="008E27BE"/>
    <w:rsid w:val="008E4766"/>
    <w:rsid w:val="0090153F"/>
    <w:rsid w:val="00902870"/>
    <w:rsid w:val="00904A58"/>
    <w:rsid w:val="0091686C"/>
    <w:rsid w:val="0092151C"/>
    <w:rsid w:val="00921A8C"/>
    <w:rsid w:val="00924917"/>
    <w:rsid w:val="00924C35"/>
    <w:rsid w:val="009254B7"/>
    <w:rsid w:val="0093003B"/>
    <w:rsid w:val="0094159C"/>
    <w:rsid w:val="00943708"/>
    <w:rsid w:val="00952C53"/>
    <w:rsid w:val="00965220"/>
    <w:rsid w:val="00976B9D"/>
    <w:rsid w:val="009827B0"/>
    <w:rsid w:val="00983198"/>
    <w:rsid w:val="00997A37"/>
    <w:rsid w:val="009A198F"/>
    <w:rsid w:val="009A5DA0"/>
    <w:rsid w:val="009A6B12"/>
    <w:rsid w:val="009B696A"/>
    <w:rsid w:val="009B721D"/>
    <w:rsid w:val="009C34F0"/>
    <w:rsid w:val="009C726E"/>
    <w:rsid w:val="00A0440F"/>
    <w:rsid w:val="00A12663"/>
    <w:rsid w:val="00A13D3F"/>
    <w:rsid w:val="00A16B69"/>
    <w:rsid w:val="00A22BF7"/>
    <w:rsid w:val="00A25290"/>
    <w:rsid w:val="00A30F0A"/>
    <w:rsid w:val="00A3451A"/>
    <w:rsid w:val="00A46513"/>
    <w:rsid w:val="00A506C6"/>
    <w:rsid w:val="00A628EA"/>
    <w:rsid w:val="00A719B8"/>
    <w:rsid w:val="00A75334"/>
    <w:rsid w:val="00A83A92"/>
    <w:rsid w:val="00A84199"/>
    <w:rsid w:val="00A9083D"/>
    <w:rsid w:val="00AA344A"/>
    <w:rsid w:val="00AA53A4"/>
    <w:rsid w:val="00AB0954"/>
    <w:rsid w:val="00AB37A7"/>
    <w:rsid w:val="00AC057C"/>
    <w:rsid w:val="00AC35F2"/>
    <w:rsid w:val="00AE1BE0"/>
    <w:rsid w:val="00AE2D59"/>
    <w:rsid w:val="00AE7A3D"/>
    <w:rsid w:val="00AF3214"/>
    <w:rsid w:val="00B15A39"/>
    <w:rsid w:val="00B411A4"/>
    <w:rsid w:val="00B4419A"/>
    <w:rsid w:val="00B62D4A"/>
    <w:rsid w:val="00B631EB"/>
    <w:rsid w:val="00B676C1"/>
    <w:rsid w:val="00B67C49"/>
    <w:rsid w:val="00B841F2"/>
    <w:rsid w:val="00B93C18"/>
    <w:rsid w:val="00BA1B3C"/>
    <w:rsid w:val="00BB1117"/>
    <w:rsid w:val="00BD18EC"/>
    <w:rsid w:val="00BE1844"/>
    <w:rsid w:val="00BE1F9C"/>
    <w:rsid w:val="00BE5985"/>
    <w:rsid w:val="00BF6A76"/>
    <w:rsid w:val="00C11848"/>
    <w:rsid w:val="00C312A7"/>
    <w:rsid w:val="00C53285"/>
    <w:rsid w:val="00C732DB"/>
    <w:rsid w:val="00C776FF"/>
    <w:rsid w:val="00C80C4E"/>
    <w:rsid w:val="00C922A2"/>
    <w:rsid w:val="00C92A68"/>
    <w:rsid w:val="00C93D14"/>
    <w:rsid w:val="00C952BB"/>
    <w:rsid w:val="00CA3B66"/>
    <w:rsid w:val="00CA5D23"/>
    <w:rsid w:val="00CC0C32"/>
    <w:rsid w:val="00CE117C"/>
    <w:rsid w:val="00CE7C88"/>
    <w:rsid w:val="00D01F97"/>
    <w:rsid w:val="00D1065E"/>
    <w:rsid w:val="00D15109"/>
    <w:rsid w:val="00D163DF"/>
    <w:rsid w:val="00D36CC7"/>
    <w:rsid w:val="00D36FB9"/>
    <w:rsid w:val="00D70054"/>
    <w:rsid w:val="00D73BF3"/>
    <w:rsid w:val="00D92903"/>
    <w:rsid w:val="00D940D4"/>
    <w:rsid w:val="00DA7B8C"/>
    <w:rsid w:val="00DB15C7"/>
    <w:rsid w:val="00DB7083"/>
    <w:rsid w:val="00DC494E"/>
    <w:rsid w:val="00DC6B3A"/>
    <w:rsid w:val="00E20A9B"/>
    <w:rsid w:val="00E25C06"/>
    <w:rsid w:val="00E26E8E"/>
    <w:rsid w:val="00E30D77"/>
    <w:rsid w:val="00E609A9"/>
    <w:rsid w:val="00EA4F01"/>
    <w:rsid w:val="00EB3CC5"/>
    <w:rsid w:val="00EB51CF"/>
    <w:rsid w:val="00EC5ADD"/>
    <w:rsid w:val="00ED5C54"/>
    <w:rsid w:val="00ED6153"/>
    <w:rsid w:val="00EE1F25"/>
    <w:rsid w:val="00F05E96"/>
    <w:rsid w:val="00F070D5"/>
    <w:rsid w:val="00F21D81"/>
    <w:rsid w:val="00F2306A"/>
    <w:rsid w:val="00F2373A"/>
    <w:rsid w:val="00F26F2F"/>
    <w:rsid w:val="00F51A4F"/>
    <w:rsid w:val="00F55B3D"/>
    <w:rsid w:val="00F624EC"/>
    <w:rsid w:val="00F71153"/>
    <w:rsid w:val="00F723E8"/>
    <w:rsid w:val="00F75D84"/>
    <w:rsid w:val="00F93BDF"/>
    <w:rsid w:val="00FB24D9"/>
    <w:rsid w:val="00FB3350"/>
    <w:rsid w:val="00FB4911"/>
    <w:rsid w:val="00FB7832"/>
    <w:rsid w:val="00FC49B6"/>
    <w:rsid w:val="00FD6980"/>
    <w:rsid w:val="00FD793B"/>
    <w:rsid w:val="00FE3C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69E"/>
  <w15:chartTrackingRefBased/>
  <w15:docId w15:val="{7249AF3A-BAAA-4697-87DD-EBE269F9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76"/>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link w:val="Heading1Char"/>
    <w:uiPriority w:val="9"/>
    <w:qFormat/>
    <w:rsid w:val="00034A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F6A76"/>
    <w:rPr>
      <w:rFonts w:cs="Times New Roman"/>
      <w:b/>
      <w:bCs/>
      <w:i/>
      <w:iCs/>
      <w:color w:val="5B9BD5" w:themeColor="accent1"/>
    </w:rPr>
  </w:style>
  <w:style w:type="character" w:styleId="CommentReference">
    <w:name w:val="annotation reference"/>
    <w:uiPriority w:val="99"/>
    <w:rsid w:val="00BF6A76"/>
    <w:rPr>
      <w:sz w:val="16"/>
      <w:szCs w:val="16"/>
    </w:rPr>
  </w:style>
  <w:style w:type="paragraph" w:styleId="CommentText">
    <w:name w:val="annotation text"/>
    <w:basedOn w:val="Normal"/>
    <w:link w:val="CommentTextChar"/>
    <w:uiPriority w:val="99"/>
    <w:rsid w:val="00BF6A76"/>
    <w:rPr>
      <w:sz w:val="20"/>
      <w:szCs w:val="20"/>
    </w:rPr>
  </w:style>
  <w:style w:type="character" w:customStyle="1" w:styleId="CommentTextChar">
    <w:name w:val="Comment Text Char"/>
    <w:basedOn w:val="DefaultParagraphFont"/>
    <w:link w:val="CommentText"/>
    <w:uiPriority w:val="99"/>
    <w:rsid w:val="00BF6A76"/>
    <w:rPr>
      <w:rFonts w:ascii="Times New Roman" w:eastAsia="Times New Roman" w:hAnsi="Times New Roman" w:cs="Times New Roman"/>
      <w:sz w:val="20"/>
      <w:szCs w:val="20"/>
      <w:lang w:eastAsia="et-EE"/>
    </w:rPr>
  </w:style>
  <w:style w:type="paragraph" w:styleId="ListParagraph">
    <w:name w:val="List Paragraph"/>
    <w:aliases w:val="Mummuga loetelu,Colorful List - Accent 11,Loendi l›ik,List Paragraph1,Table of contents numbered"/>
    <w:basedOn w:val="Normal"/>
    <w:link w:val="ListParagraphChar"/>
    <w:uiPriority w:val="34"/>
    <w:qFormat/>
    <w:rsid w:val="00BF6A76"/>
    <w:pPr>
      <w:ind w:left="708"/>
    </w:pPr>
  </w:style>
  <w:style w:type="character" w:customStyle="1" w:styleId="ListParagraphChar">
    <w:name w:val="List Paragraph Char"/>
    <w:aliases w:val="Mummuga loetelu Char,Colorful List - Accent 11 Char,Loendi l›ik Char,List Paragraph1 Char,Table of contents numbered Char"/>
    <w:basedOn w:val="DefaultParagraphFont"/>
    <w:link w:val="ListParagraph"/>
    <w:uiPriority w:val="34"/>
    <w:locked/>
    <w:rsid w:val="00BF6A76"/>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BF6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76"/>
    <w:rPr>
      <w:rFonts w:ascii="Segoe UI" w:eastAsia="Times New Roman" w:hAnsi="Segoe UI" w:cs="Segoe UI"/>
      <w:sz w:val="18"/>
      <w:szCs w:val="18"/>
      <w:lang w:eastAsia="et-EE"/>
    </w:rPr>
  </w:style>
  <w:style w:type="paragraph" w:styleId="CommentSubject">
    <w:name w:val="annotation subject"/>
    <w:basedOn w:val="CommentText"/>
    <w:next w:val="CommentText"/>
    <w:link w:val="CommentSubjectChar"/>
    <w:uiPriority w:val="99"/>
    <w:semiHidden/>
    <w:unhideWhenUsed/>
    <w:rsid w:val="0072155D"/>
    <w:rPr>
      <w:b/>
      <w:bCs/>
    </w:rPr>
  </w:style>
  <w:style w:type="character" w:customStyle="1" w:styleId="CommentSubjectChar">
    <w:name w:val="Comment Subject Char"/>
    <w:basedOn w:val="CommentTextChar"/>
    <w:link w:val="CommentSubject"/>
    <w:uiPriority w:val="99"/>
    <w:semiHidden/>
    <w:rsid w:val="0072155D"/>
    <w:rPr>
      <w:rFonts w:ascii="Times New Roman" w:eastAsia="Times New Roman" w:hAnsi="Times New Roman" w:cs="Times New Roman"/>
      <w:b/>
      <w:bCs/>
      <w:sz w:val="20"/>
      <w:szCs w:val="20"/>
      <w:lang w:eastAsia="et-EE"/>
    </w:rPr>
  </w:style>
  <w:style w:type="paragraph" w:customStyle="1" w:styleId="BodySingle">
    <w:name w:val="Body Single"/>
    <w:basedOn w:val="BodyText"/>
    <w:rsid w:val="00717BC2"/>
    <w:pPr>
      <w:spacing w:after="0" w:line="290" w:lineRule="atLeast"/>
    </w:pPr>
    <w:rPr>
      <w:szCs w:val="20"/>
      <w:lang w:val="en-GB" w:eastAsia="en-US"/>
    </w:rPr>
  </w:style>
  <w:style w:type="paragraph" w:styleId="BodyText">
    <w:name w:val="Body Text"/>
    <w:basedOn w:val="Normal"/>
    <w:link w:val="BodyTextChar"/>
    <w:uiPriority w:val="99"/>
    <w:semiHidden/>
    <w:unhideWhenUsed/>
    <w:rsid w:val="00717BC2"/>
    <w:pPr>
      <w:spacing w:after="120"/>
    </w:pPr>
  </w:style>
  <w:style w:type="character" w:customStyle="1" w:styleId="BodyTextChar">
    <w:name w:val="Body Text Char"/>
    <w:basedOn w:val="DefaultParagraphFont"/>
    <w:link w:val="BodyText"/>
    <w:uiPriority w:val="99"/>
    <w:semiHidden/>
    <w:rsid w:val="00717BC2"/>
    <w:rPr>
      <w:rFonts w:ascii="Times New Roman" w:eastAsia="Times New Roman" w:hAnsi="Times New Roman" w:cs="Times New Roman"/>
      <w:sz w:val="24"/>
      <w:szCs w:val="24"/>
      <w:lang w:eastAsia="et-EE"/>
    </w:rPr>
  </w:style>
  <w:style w:type="character" w:styleId="Hyperlink">
    <w:name w:val="Hyperlink"/>
    <w:uiPriority w:val="99"/>
    <w:rsid w:val="00FB3350"/>
    <w:rPr>
      <w:color w:val="0000FF"/>
      <w:u w:val="single"/>
    </w:rPr>
  </w:style>
  <w:style w:type="paragraph" w:styleId="Revision">
    <w:name w:val="Revision"/>
    <w:hidden/>
    <w:uiPriority w:val="99"/>
    <w:semiHidden/>
    <w:rsid w:val="001D3D5B"/>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034A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34AFD"/>
    <w:rPr>
      <w:rFonts w:ascii="Times New Roman" w:eastAsia="Times New Roman" w:hAnsi="Times New Roman" w:cs="Times New Roman"/>
      <w:b/>
      <w:bCs/>
      <w:kern w:val="36"/>
      <w:sz w:val="48"/>
      <w:szCs w:val="48"/>
      <w:lang w:eastAsia="et-EE"/>
    </w:rPr>
  </w:style>
  <w:style w:type="character" w:customStyle="1" w:styleId="mm">
    <w:name w:val="mm"/>
    <w:basedOn w:val="DefaultParagraphFont"/>
    <w:rsid w:val="00B4419A"/>
  </w:style>
  <w:style w:type="paragraph" w:styleId="ListBullet">
    <w:name w:val="List Bullet"/>
    <w:basedOn w:val="Normal"/>
    <w:uiPriority w:val="99"/>
    <w:unhideWhenUsed/>
    <w:rsid w:val="008157FA"/>
    <w:pPr>
      <w:numPr>
        <w:numId w:val="26"/>
      </w:numPr>
      <w:contextualSpacing/>
    </w:pPr>
  </w:style>
  <w:style w:type="character" w:styleId="UnresolvedMention">
    <w:name w:val="Unresolved Mention"/>
    <w:basedOn w:val="DefaultParagraphFont"/>
    <w:uiPriority w:val="99"/>
    <w:semiHidden/>
    <w:unhideWhenUsed/>
    <w:rsid w:val="0089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68325">
      <w:bodyDiv w:val="1"/>
      <w:marLeft w:val="0"/>
      <w:marRight w:val="0"/>
      <w:marTop w:val="0"/>
      <w:marBottom w:val="0"/>
      <w:divBdr>
        <w:top w:val="none" w:sz="0" w:space="0" w:color="auto"/>
        <w:left w:val="none" w:sz="0" w:space="0" w:color="auto"/>
        <w:bottom w:val="none" w:sz="0" w:space="0" w:color="auto"/>
        <w:right w:val="none" w:sz="0" w:space="0" w:color="auto"/>
      </w:divBdr>
    </w:div>
    <w:div w:id="2054306265">
      <w:bodyDiv w:val="1"/>
      <w:marLeft w:val="0"/>
      <w:marRight w:val="0"/>
      <w:marTop w:val="0"/>
      <w:marBottom w:val="0"/>
      <w:divBdr>
        <w:top w:val="none" w:sz="0" w:space="0" w:color="auto"/>
        <w:left w:val="none" w:sz="0" w:space="0" w:color="auto"/>
        <w:bottom w:val="none" w:sz="0" w:space="0" w:color="auto"/>
        <w:right w:val="none" w:sz="0" w:space="0" w:color="auto"/>
      </w:divBdr>
    </w:div>
    <w:div w:id="20544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F8E9-5890-45A9-BEA6-5FF687F8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2007</Words>
  <Characters>11641</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Liisi Tali</cp:lastModifiedBy>
  <cp:revision>5</cp:revision>
  <dcterms:created xsi:type="dcterms:W3CDTF">2024-11-25T13:28:00Z</dcterms:created>
  <dcterms:modified xsi:type="dcterms:W3CDTF">2024-11-25T13:30:00Z</dcterms:modified>
</cp:coreProperties>
</file>